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D-3291/2021 vom 17. Juni 2021</w:t>
      </w:r>
    </w:p>
    <w:p>
      <w:r>
        <w:t>Bundesverwaltungsgericht, 2021-06-17, DE</w:t>
      </w:r>
    </w:p>
    <w:p>
      <w:r>
        <w:rPr>
          <w:b/>
        </w:rPr>
        <w:t xml:space="preserve">Quelle: </w:t>
      </w:r>
      <w:r>
        <w:t>https://mcp.opencaselaw.ch/entscheid/bvger_D-3291_2021_d20210617</w:t>
      </w:r>
    </w:p>
    <w:p>
      <w:r>
        <w:t>FR: TAF D-3291/2021 du 17 juin 2021</w:t>
      </w:r>
    </w:p>
    <w:p>
      <w:r>
        <w:t>IT: TAF D-3291/2021 del 17 giugno 2021</w:t>
      </w:r>
    </w:p>
    <w:p>
      <w:pPr>
        <w:pStyle w:val="Heading2"/>
      </w:pPr>
      <w:r>
        <w:t>Regeste</w:t>
      </w:r>
    </w:p>
    <w:p>
      <w:r>
        <w:t>Asyl und Wegweisung | Asyl und Wegweisung; Verfügung des SEM vom 17. Juni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t>D-3291/2021 Seite 5</w:t>
      </w:r>
    </w:p>
    <w:p>
      <w:r>
        <w:rPr>
          <w:b/>
        </w:rPr>
        <w:t>E. 4.1</w:t>
      </w:r>
    </w:p>
    <w:p>
      <w:r>
        <w:t>In der Beschwerde wird eine Verletzung der Abklärungspflicht gerügt; diese Rüge ist vorab zu beurteilen, da sie gegebenenfalls geeignet ist, eine Kassation der vorinstanzlichen Verfügung zu bewirken. So rügen die Be- schwerdeführer, die Vorinstanz habe es unterlassen, den minderjährigen C._______ anzuhören.</w:t>
      </w:r>
    </w:p>
    <w:p>
      <w:r>
        <w:rPr>
          <w:b/>
        </w:rPr>
        <w:t>E. 4.2</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 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 chend seinem Alter und seiner Reife. Nach Art. 12 Abs. 2 KRK wird dem Kind zu diesem Zweck insbesondere Gelegenheit gegeben, in allen das Kind berührenden Gerichts- oder Verwaltungsverfahren entweder unmittel- bar oder durch einen Vertreter oder eine geeignete Stelle im Einklang mit den innerstaatlichen Verfahrensvorschriften gehört zu werden. Wie sich aus dem Wortlaut von Art. 12 Abs. 2 KRK ergibt, ist allerdings eine persön- liche Anhörung nicht in jedem Fall unerlässlich; wenn die Kinder durch ihre Eltern vertreten werden und beider Interessen gleichläufig sind, kann die Ansicht der Kinder auch ohne persönliche Anhörung durch ihre Eltern ein- gebracht werden, sofern der rechtserhebliche Sachverhalt auch ohne diese Anhörung rechtsgenüglich festgestellt werden kann (vgl. Urteil des BGer 2C_1026/2019 vom 16. Juli 2020 E. 3.2 m.H.a. BGE 144 II 1 E. 6.5 sowie Urteil des BVGer E-6552/2019 vom 16. Dezember 2021 E. 3.6 m.w.H.).</w:t>
      </w:r>
    </w:p>
    <w:p>
      <w:r>
        <w:rPr>
          <w:b/>
        </w:rPr>
        <w:t>E. 4.3</w:t>
      </w:r>
    </w:p>
    <w:p>
      <w:r>
        <w:t>Die Rüge erweist sich vorliegend als unbegründet, ist doch davon aus- zugehen, dass die Interessen von C._______ mit jenen seines Vaters, der eingehend zur Sache angehört wurde, gleichläufig sind und durch dessen Ausführungen respektive die der Rechtsvertretung genügend in das Ver- fahren Eingang gefunden haben. Dafür spricht denn auch der Umstand, dass der damals (…)jährige B._______ auf die Geltendmachung eigener</w:t>
      </w:r>
    </w:p>
    <w:p>
      <w:r>
        <w:t>D-3291/2021 Seite 6 Asylgründe verzichtete und sich vollumfänglich auf die Ausführungen sei- nes Vaters stützte (vgl. A28/6 F24 und F29). Somit verzichtete die Vo- rinstanz zu Recht auf eine Anhörung des minderjährigen C._______ und es besteht keine Veranlassung, die Verfügung aus formellen Gründen auf- zuheben.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Ihren ablehnenden Entscheid begründet die Vorinstanz im Wesentli- chen damit, dass die Vorbringen des Beschwerdeführers A._______ weder den Anforderungen an die Flüchtlingseigenschaft noch denjenigen an die Glaubhaftigkeit standhalten würden. So sei die Behauptung, er werde vom iranischen Geheimdienst verfolgt als nachgeschoben und somit unglaub- haft zu qualifizieren, zumal er diese Befürchtung erstmals im Rahmen des rechtlichen Gehörs zur Botschaftsabklärung geäussert habe. Ohnehin sei seine Furcht vor Verfolgung rein subjektiv, ergäben sich doch objektiv aus den Akten keine konkreten Hinweise darauf, dass ihm (und seiner Familie) im Zusammenhang mit seiner Funktion in der Stadtverwaltung und dem</w:t>
      </w:r>
    </w:p>
    <w:p>
      <w:r>
        <w:t>D-3291/2021 Seite 7 fraglichen Bauprojekt eine flüchtlingsrelevante Verfolgung drohe. Es sei nicht anzunehmen, dass ihn die iranischen Behörden für die Zerstörung des inoffiziellen Friedhofes verantwortlich machen könnten. Selbst wenn er sich in seiner Funktion als Aufsichtsperson nicht amtskonform verhalten oder eine Pflichtverletzung begangen und sich damit allenfalls strafbar ge- macht haben sollte, vermöge dies keine flüchtlingsrechtlich relevante Ver- folgung zu begründen. Ohnehin habe die Botschaftsabklärung vom 26. Au- gust 2020 ergeben, dass gegen A._______ weder Ermittlungs- noch Straf- verfahren hängig seien. Auch gebe es keine Belege für seine direkte Be- teiligung an den Finanzkorruptionsskandalen und der Verhaftung des Bür- germeisters der Stadt D._______. Hätte er unwillentlich in eine illegale Af- färe hineingezogen werden sollen, wäre es ihm ohnehin zuzumuten gewe- sen, sich an die Strafverfolgungsbehörden zu wenden, deute doch nichts auf eine fehlende staatliche Schutzwilligkeit oder –fähigkeit hin. Daran ver- möchten auch die eingereichten Beweismittel nichts zu ändern, würden sich diese doch auf den Sachverhalt beziehen, welcher nicht in Frage stehe.</w:t>
      </w:r>
    </w:p>
    <w:p>
      <w:r>
        <w:rPr>
          <w:b/>
        </w:rPr>
        <w:t>E. 6.2</w:t>
      </w:r>
    </w:p>
    <w:p>
      <w:r>
        <w:t>In der Beschwerdeschrift wird dem im Wesentlichen entgegengehalten, die Vorinstanz gehe zu Unrecht von der Unglaubhaftigkeit der Vorbringen aus. Gesamthaft betrachtet, überwiegten die glaubhaften Aussagen allfäl- lige Unstimmigkeiten. Ohnehin sei der Vorwurf der nachgeschobenen Vor- bringen unbegründet, habe A._______ in den Anhörungen doch bereits mehrfach auf die Möglichkeit einer Verfolgung durch den Geheimdienst hingewiesen. Zudem belege das auf Beschwerdeebene eingereichte Schreiben an den Generaldirektor für Information, dass der Sicherheits- dienst bei seinen Verwandten nach ihm gesucht habe. Aufgrund der erlit- tenen Drohung habe er objektiv davon ausgehen müssen, dass ihn «Schlimmes» erwarte, sollte er sich bezüglich des fraglichen Bauprojektes nicht kooperativ zeigen. Er habe sich somit in einem ausweglosen Dilemma befunden und vor der Wahl gestanden zu kooperieren, womit er sich einer- seits strafbar gemacht und anderseits die Vergeltung Oppositioneller zu befürchten gehabt hätte. Hätte er sich hingegen dem Bauprojekt entgegen- gestellt, hätte er wiederum mit Repressionen des iranischen Sicherheits- apparats rechnen müssen. Auch könne gemäss der Botschaftsabklärung nicht ausgeschlossen werden, dass der Beschwerdeführer (unfreiwillig) in den Korruptionsskandal seines früheren Arbeitsgebers involviert sei. Dass sich der Beschwerdeführer an die heimatlichen Behörden hätte wenden können, sei im iranischen Kontext unrealistisch, drohten denen, die gegen die weitverbreitete Korruption vorzugehen versuchten doch gravierende</w:t>
      </w:r>
    </w:p>
    <w:p>
      <w:r>
        <w:t>D-3291/2021 Seite 8 Konsequenzen. Es sei somit zynisch, wenn die Vorinstanz von einer recht- staatlich legitimen Verfolgung ausgehe. Mit seiner Flucht aus Iran und der damit verbundenen Weigerung, ein Projekt zur Zerstörung eines Friedho- fes Oppositioneller zu überwachen, müsse er befürchten, wegen dieses zweifellos als oppositionell erachteten Verhaltens inhaftiert und gefoltert zu werden.</w:t>
      </w:r>
    </w:p>
    <w:p>
      <w:r>
        <w:rPr>
          <w:b/>
        </w:rPr>
        <w:t>E. 7.1</w:t>
      </w:r>
    </w:p>
    <w:p>
      <w:r>
        <w:t>Die Vorinstanz hat die Vorbringen der Beschwerdeführer in der ange- fochtenen Verfügung mit ausführlicher und überzeugender Begründung als unglaubhaft beziehungsweise nicht asylrelevant qualifiziert. Die Ausfüh- rungen auf Beschwerdeebene führen zu keiner anderen Betrachtungs- weise. Zur Vermeidung von Wiederholungen kann auf E. 6.1 hiervor ver- wiesen werden. In Ergänzung und Präzisierung dazu ist das Folgende fest- zustellen:</w:t>
      </w:r>
    </w:p>
    <w:p>
      <w:r>
        <w:rPr>
          <w:b/>
        </w:rPr>
        <w:t>E. 7.2</w:t>
      </w:r>
    </w:p>
    <w:p>
      <w:r>
        <w:t>Den von der Vorinstanz aufgezeigten Ungereimtheiten vermögen die Beschwerdeführer auch auf Beschwerdeebene nichts Substantielles ent- gegenzusetzen. Der Erklärungsversuch in der Beschwerdeschrift, der Be- schwerdeführer A._______ habe «nicht übereilt irgendetwas behaupten» wollen (vgl. Beschwerde S. 6 Ziff. 3.2.2) vermag nicht zu überzeugen, wäre doch zu erwarten gewesen, dass er auf konkretes Nachfragen hin zumin- dest eine Vermutung zu äussern vermag, wer seine Verfolger seien. Statt- dessen gab er – sowohl in der Anhörung als auch der ergänzenden Anhö- rung – ausweichend zu Protokoll, es nicht zu wissen (vgl. A27/20 F71 und A30/23 F63). Sein Vorbingen, er werde durch den Geheimdienst bedroht, ist somit entgegen der Beschwerdeschrift als nachgeschoben zu qualifizie- ren. Ohnehin erscheinen die Umstände der geltend gemachten Drohung und insbesondere deren (angebliche) Hintergründe unglaubhaft. So gab er denn zu Protokoll, er, «die rechte Hand [des] Bürgermeisters» sei durch das Büro des Bürgermeisters telefonisch aufgefordert worden sich zum Amt für Kontrolle und Sicherheit zu begeben, wo man ihm mit der Begrün- dung, sein Gesprächspartner wolle unerkannt bleiben die Augen verbun- den habe (vgl. A27/20 F84 und A30/23 F43, F60). Dass der gutsituierte Bauunternehmer und Staatsangestellte, der gemäss eigenen Angaben als in Iran «sehr bekannte Persönlichkeit» über einen gewissen gesellschaftli- chen Stand und Einfluss verfügt, sich dem ohne weiteres gefügt und dies auch nicht als seltsam empfunden habe, erscheint nur wenig wahrschein- lich (vgl. A27/20 F51 und A30/23 F46, F59, F61, F127). Entgegen der nicht näher substantiierten Behauptung in der Beschwerdeschrift weisen die</w:t>
      </w:r>
    </w:p>
    <w:p>
      <w:r>
        <w:t>D-3291/2021 Seite 9 diesbezüglichen Erzählungen auch kaum Realkennzeichen auf und erwe- cken nicht den Eindruck von etwas tatsächlich Erlebtem. Trotz mehrfacher Aufforderung, die Vorkommnisse detailliert zu beschreiben vermochte er die Umstände der angeblichen Drohung nicht detailliert darzulegen (vgl. beispielsweise A30/23 F45 f., F49, F52, F62, F108) und verstrickte sich in Widersprüche. So gab er beispielsweise zu Protokoll, er sei in ein Zimmer gebracht worden, in welchem man ihn alleine habe warten lassen, während er anderenorts zu Protokoll gab, man habe ihn die ganze Zeit «vertröstet» (vgl. A30/23 F46 f.). Auch darauf hingewiesen, dass er den Gesprächsverlauf der geltend gemachten Drohung gegenüber den deut- schen Behörden während des dortigen Dublin-Verfahrens abweichend ge- schildert habe, vermochte der Beschwerdeführer dies nicht zu erklären (vgl. A30/23 F127). Widersprüchlich ist sodann auch die Argumentation auf Beschwerdeebene, die Verwirklichung des Bauprojekts habe die Zerstö- rung des inoffiziellen Friedhofs zum Ziel gehabt, um sich eines unliebsa- men Pilgerorts Oppositioneller zu entledigen (vgl. Beschwerde S. 8 Ziff. 3.3.2), gab doch der Beschwerdeführer in den Anhörungen wiederholt zu Protokoll, das Interesse der Machthaber am fraglichen Bauprojekt sei fi- nanzieller Art gewesen (vgl. A27/20 F71 ff. und A30/23 F121). Ohnehin ver- mag er auch auf Beschwerdeebene nicht darzulegen, weshalb die Unbe- kannten überhaupt ein Interesse an ihm gehabt hätten, zumal seine Aufga- ben in der Stadtverwaltung in der Erstellung des Jahresbudgets für Bau- vorhaben sowie der Beaufsichtigung von Projekten – zugeteilt durch den Bürgermeister – bestanden hätten (vgl. A27/20 F88 ff. und A30/23 F35, F37 f., F74). Inwiefern er in dieser Funktion auf das fragliche Projekt hätte Einfluss nehmen können, ist nicht nachvollziehbar. Dass ihn die Behörden respektive Oppositionellen für die allfällige Zerstörung eines Friedhofes, der offensichtlich offiziell gar nicht existierte (vgl. A27/20 F75), in irgendei- ner Form hätten verantwortlich machen können, erscheint somit ebenso wenig wahrscheinlich. An der Unglaubhaftigkeit der Vorbringen vermag denn auch das auf Beschwerdeebene eingereichte Schreiben der Gemein- dewache an den Generaldirektor für Information der Provinz E._______ nichts zu ändern, zumal es sich lediglich um eine Kopie einer Fotografie handelt, der kein hoher Beweiswert zukommt.</w:t>
      </w:r>
    </w:p>
    <w:p>
      <w:r>
        <w:rPr>
          <w:b/>
        </w:rPr>
        <w:t>E. 7.3</w:t>
      </w:r>
    </w:p>
    <w:p>
      <w:r>
        <w:t>Zusammenfassend ist es den Beschwerdeführern somit nicht gelun- gen, asylrelevante Fluchtgründe nachzuweisen oder glaubhaft zu machen. Die Vorinstanz hat folglich zu Recht ihre Flüchtlingseigenschaft verneint und ihre Asylgesuche abgelehnt.</w:t>
      </w:r>
    </w:p>
    <w:p>
      <w:r>
        <w:t>D-3291/2021 Seite 10</w:t>
      </w:r>
    </w:p>
    <w:p>
      <w:r>
        <w:rPr>
          <w:b/>
        </w:rPr>
        <w:t>E. 8</w:t>
      </w:r>
    </w:p>
    <w:p>
      <w:r>
        <w:t>Gemäss Art. 44 AsylG verfügt das SEM in der Regel die Wegweisung aus der Schweiz, wenn es das Asylgesuch ablehnt oder darauf nicht eintritt. Die Beschwerdeführer verfügen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die Beschwerdeführer die Flüchtlingseigenschaft nicht erfüllen, ist – wie von der Vorinstanz zutreffend festgehalten – das flüchtlingsrechtliche Rückschiebungsverbot von Art. 33 Abs. 1 FK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Weder aus den Aussagen von A._______ und B._______ noch aus den Akten ergeben sich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Beschwerdeführer eine konkrete Gefahr ("real risk") nachwei- sen oder glaubhaft machen, dass ihnen im Fall einer Rückschiebung Folter</w:t>
      </w:r>
    </w:p>
    <w:p>
      <w:r>
        <w:t>D-3291/2021 Seite 11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landes- als auch der völkerrechtlichen Best- 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E-3799/2020 vom 11. März 2021 E. 14.4.1 m.w.H).</w:t>
      </w:r>
    </w:p>
    <w:p>
      <w:r>
        <w:rPr>
          <w:b/>
        </w:rPr>
        <w:t>E. 9.4.3</w:t>
      </w:r>
    </w:p>
    <w:p>
      <w:r>
        <w:t>Darüber hinaus sind keine individuellen Gründe ersichtlich, die gegen einen Wegweisungsvollzug sprechen. Die Beschwerdeführer sind gesund und als Bauingenieur, Architekt, Staatsangestellter und selbständiger Un- ternehmer verfügt der Beschwerdeführer A._______ über eine gesicherte wirtschaftliche Integration der Familie in Iran (vgl. A27/20 F5, F14, F16, F26 und A30/23 F15, F28 f, F31 ff., F97, F127). Sein mittlerweile volljähri- ger Sohn B._______ ist Schüler und beendete vor seiner Ausreise erfolg- reich die neunte Schulklasse (vgl. A28/6 F19). Es ist davon auszugehen, dass er seine Ausbildung in Iran fortsetzen kann. Zwar lebt der Beschwer- deführer A._______ seit 2018 von seiner weiterhin in Iran lebenden und als Englischlehrerin tätigen Ex-Frau geschieden, doch pflegen er wie auch die gemeinsamen Kinder B._______ und C._______ weiterhin ein gutes Ver- hältnis zu ihr (vgl. A27/20 F13, F35 und A30/23 F10, F24 ff.). Mit der aktuell durch die Ex-Ehefrau verwalteten Eigentumswohnung verfügen die Be- schwerdeführer auch über eine gesicherte Wohnsituation (vgl. A30/23 F10). Sofern die Notwendigkeit bestehen sollte, ist anzunehmen, die Be- schwerdeführer könnten auch im Haushalt der Ex-Ehefrau unterkommen. Zudem leben die Mutter und der Bruder des volljährigen Beschwerdefüh- rers A._______ weiterhin in Iran (vgl. A27/20 F29 und A30/23 F8). Somit</w:t>
      </w:r>
    </w:p>
    <w:p>
      <w:r>
        <w:t>D-3291/2021 Seite 12 können die Beschwerdeführer auf ein familiäres Beziehungsnetz und al- lenfalls finanzielle Unterstützung im Heimatstaat zurückgreifen.</w:t>
      </w:r>
    </w:p>
    <w:p>
      <w:r>
        <w:rPr>
          <w:b/>
        </w:rPr>
        <w:t>E. 9.4.4</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S. 749). Nach einem knapp zweijährigen Aufenthalt in der Schweiz ist beim (…)jäh- rigen Beschwerdeführer C._______ noch nicht von einer fortgeschrittenen Verwurzelung in der Schweiz auszugehen, zumal sein Vater A._______ und älterer Bruder B._______ wie auch die in Iran lebende Mutter (noch) die wichtigsten Bezugspersonen bilden. Weder in den vorinstanzlichen noch den Beschwerdeakten finden sich Hinweise, welche zu einer gegen- teiligen Annahme führen könnten. Der Wegweisungsvollzug nach Iran hätte damit keine derartige Entwurzelung des gesunden Kindes zur Folge, dass eine Rückkehr dorthin mit dem Kindeswohl nicht vereinbar wäre.</w:t>
      </w:r>
    </w:p>
    <w:p>
      <w:r>
        <w:rPr>
          <w:b/>
        </w:rPr>
        <w:t>E. 9.4.5</w:t>
      </w:r>
    </w:p>
    <w:p>
      <w:r>
        <w:t>Konkrete Gründe, welche es als wahrscheinlich erscheinen lassen, dass die Beschwerdeführer im Falle einer Rückkehr nach Iran in eine exis- tenzielle Notlage geraten würden, sind somit nicht ersichtlich und der Voll- zug der Wegweisung erweist sich nach dem Gesagten auch als zumutbar.</w:t>
      </w:r>
    </w:p>
    <w:p>
      <w:r>
        <w:rPr>
          <w:b/>
        </w:rPr>
        <w:t>E. 9.5</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D-3291/2021 Seite 13 Bei diesem Ausgang des Verfahrens sind die Kosten den Beschwerdefüh- rern aufzuerlegen (Art. 63 Abs. 1 VwVG) und auf insgesamt Fr. 750.– fest- zusetzen (Art. 1–3 des Reglements vom 21. Februar 2008 über die Kosten und Entschädigungen vor dem Bundesverwaltungsgericht [VGKE, SR 173.320.2]). Sie sind durch den geleisteten Kostenvorschuss in glei- cher Höhe gedeckt. Nachdem das Gesuch um unentgeltliche Rechtsverbeiständung mit Zwi- schenverfügung vom 12. Januar 2022 abgewiesen wurde, ist der Antrag auf Einsetzung des rubrizierten Rechtsvertreters als amtliche Rechtsver- tretung gegenstandslos geworden. (Dispositiv nächste Seite)</w:t>
      </w:r>
    </w:p>
    <w:p>
      <w:r>
        <w:t>D-3291/2021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