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D-3289/2019 vom 23. Mai 2019</w:t>
      </w:r>
    </w:p>
    <w:p>
      <w:r>
        <w:t>Bundesverwaltungsgericht, 2019-05-23, DE</w:t>
      </w:r>
    </w:p>
    <w:p>
      <w:r>
        <w:rPr>
          <w:b/>
        </w:rPr>
        <w:t xml:space="preserve">Quelle: </w:t>
      </w:r>
      <w:r>
        <w:t>https://mcp.opencaselaw.ch/entscheid/bvger_D-3289_2019_d20190523</w:t>
      </w:r>
    </w:p>
    <w:p>
      <w:r>
        <w:t>FR: TAF D-3289/2019 du 23 mai 2019</w:t>
      </w:r>
    </w:p>
    <w:p>
      <w:r>
        <w:t>IT: TAF D-3289/2019 del 23 maggio 2019</w:t>
      </w:r>
    </w:p>
    <w:p>
      <w:pPr>
        <w:pStyle w:val="Heading2"/>
      </w:pPr>
      <w:r>
        <w:t>Regeste</w:t>
      </w:r>
    </w:p>
    <w:p>
      <w:r>
        <w:t>Asyl und Wegweisung | Asyl und Wegweisung; Verfügung des SEM vom 23. Mai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D-3289/2019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Art. 108 Abs. 1 AsylG; Art. 48 Abs. 1 sowie Art. 52 Abs. 1 VwVG). Auf die Beschwerde ist einzutreten.</w:t>
      </w:r>
    </w:p>
    <w:p>
      <w:r>
        <w:rPr>
          <w:b/>
        </w:rPr>
        <w:t>E. 2</w:t>
      </w:r>
    </w:p>
    <w:p>
      <w:r>
        <w:t>Gegenstand des vorliegenden Verfahrens bildet lediglich die Frage nach der Feststellung der Flüchtlingseigenschaft und der Gewährung von Asyl. Die Frage nach dem Vollzug der Wegweisung (Rechtsbegehren 2 der Be- schwerde vom 27. Juni 2019) fällt demnach aufgrund des Erhalts einer Auf- enthaltsbewilligung B infolge Eheschliessung der Beschwerdeführerin mit einem Schweizer Ehegatten weg (vgl. E. 8.1 und 8.2).</w:t>
      </w:r>
    </w:p>
    <w:p>
      <w:r>
        <w:rPr>
          <w:b/>
        </w:rPr>
        <w:t>E. 3</w:t>
      </w:r>
    </w:p>
    <w:p>
      <w:r>
        <w:t>Die Kognition des Bundesverwaltungsgerichts und die zulässigen Rügen richten sich im Asylbereich nach Art. 106 Abs. 1 AsylG.</w:t>
      </w:r>
    </w:p>
    <w:p>
      <w:r>
        <w:rPr>
          <w:b/>
        </w:rPr>
        <w:t>E. 4.1</w:t>
      </w:r>
    </w:p>
    <w:p>
      <w:r>
        <w:t>In der Beschwerde werden formelle Rügen erhoben, welche vorab zu behandeln sind, da sie allenfalls geeignet sein könnten, eine Kassation der vorinstanzlichen Verfügung zu bewirken.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w:t>
      </w:r>
    </w:p>
    <w:p>
      <w:r>
        <w:t>D-3289/2019 Seite 7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In der Beschwerde wurde geltend gemacht, der Sachverhalt sei unge- nügend abgeklärt worden. Die Beschwerdeführerin sei davon ausgegan- gen, dass eine weitere Anhörung stattfinden würde, da erstere nur zwei Monate nach der Geburt ihres Kindes erfolgt sei und sie zudem nicht ver- tieft zu den einzelnen Themen befragt und das Thema häufig gewechselt worden sei. Zudem seien die Umstände anlässlich der Anhörung schwierig gewesen, da ihr Baby und deren Betreuungsperson eine Weile unauffind- bar gewesen seien.</w:t>
      </w:r>
    </w:p>
    <w:p>
      <w:r>
        <w:rPr>
          <w:b/>
        </w:rPr>
        <w:t>E. 4.4</w:t>
      </w:r>
    </w:p>
    <w:p>
      <w:r>
        <w:t>Zum Vorhalt, der Sachverhalt sei ungenügend abgeklärt worden, ist festzustellen, dass der Beschwerdeführerin zahlreiche Fragen – insgesamt deren 242 – gestellt wurden, wobei ihr neben konkreten Fragestellungen auch die Möglichkeit eingeräumt wurde, sich in der freien Rede zu ihren Fluchtgründen zu äussern. Sie konnte sich in keinem Zeitpunkt auf die An- nahme stützen, dass eine weitere Befragung stattfinden würde, zumal ihr am Ende der Anhörung mitgeteilt worden war, dass aus der Sicht des SEM alle Fakten gesammelt worden seien, welche für die Beurteilung ihres Asyl- gesuches wesentlich seien. Zudem war ihr in Frage 242 die Gelegenheit gegeben worden, sich zu allfälligen weiteren Gründen, welche gegen eine Rückkehr ins Heimatland sprechen würden, zu äussern. Somit sind keine Gründe ersichtlich, aus welchen sie hätte schliessen können, zu einer wei- teren Anhörung eingeladen zu werden. Zudem wäre es ihr möglich gewe- sen, die kurz nach ihrer Geburt angesetzte Anhörung verschieben zu las- sen. Es ist zwar durchaus verständlich, dass sie sich aufgrund des kurz- zeitigen Verschwindens ihres Säuglings in einer akuten Stresssituation be- funden haben muss und dadurch teilweise unkonzentriert war, jedoch geht aus dem Protokoll hervor, dass sie auf eigenen Wunsch hin die Anhörung hat fortführen und nicht weiter unterbrechen wollen (vgl. act. A27/25, zwi- schen F91 und 92). Auch wenn sie nachträglich über Schmerzen während</w:t>
      </w:r>
    </w:p>
    <w:p>
      <w:r>
        <w:t>D-3289/2019 Seite 8 der Anhörung klagte, bestand sie dennoch darauf, die Anhörung inklusive der Rückübersetzung noch am selben Tag und umgehend zu beenden (vgl. act. A27/25, S.24). Auch wenn sowohl die Hilfswerksvertretung HWV, als auch die Sachbearbeiterin teilweise die etwas saloppe Übersetzung be- mängelt haben (vgl. act. A27/25, Bemerkung Rückseite zu F231 und Un- terschriftenblatt der HWV), ist dennoch davon auszugehen, dass die Rück- übersetzung korrekt und vollständig gewesen ist, zumal die Beschwerde- führerin mit ihrer Unterschrift die Richtigkeit der Übersetzung bestätigte und auch keine Korrekturen anbringen liess. Im Grundsatz ist davon aus- zugehen, dass ihre Ausführungen aus inhaltlicher Sicht korrekt sind, zumal auch die Vorinstanz an der Glaubhaftigkeit ihrer Ausführungen keine Zwei- fel erhob.</w:t>
      </w:r>
    </w:p>
    <w:p>
      <w:r>
        <w:rPr>
          <w:b/>
        </w:rPr>
        <w:t>E. 4.5</w:t>
      </w:r>
    </w:p>
    <w:p>
      <w:r>
        <w:t>Angesichts der vorangehenden Erwägungen kommt das Bundesver- waltungsgericht zum Schluss, dass keine formellen Verfahrensfehler fest- zustellen sind und die Rügen der Beschwerdeführerin als unbegründet zu- rückzuweisen sind. Eine Rückweisung der Sache an die Vorinstanz zur Neubeurteilung kommt demnach nicht in Betracht, weshalb das Gericht in der vorliegenden Sache selbst entscheidet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Lehre und Praxis setzt die Anerkennung der Flüchtlingseigen- schaft im Sinne von Art. 3 AsylG voraus, dass die asylsuchende Person</w:t>
      </w:r>
    </w:p>
    <w:p>
      <w:r>
        <w:t>D-3289/2019 Seite 9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5.4</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6.1</w:t>
      </w:r>
    </w:p>
    <w:p>
      <w:r>
        <w:t>Zur Begründung ihrer Verfügung führte die Vorinstanz im Wesentlichen aus, dass keine konkreten Hinweise darauf hinweisen würden, dass der Bruder der Beschwerdeführerin tatsächlich staatlicher Verfolgung ausge- setzt und in der Folge von staatlichen Akteuren getötet worden sei, weshalb auch ihre Befürchtung, selber von staatlicher Seite verfolgt zu werden, le- diglich auf ihren Annahmen denn auf konkreten Hinweisen beruhe. Da es sich bei der MSDJC um eine legale sowie eher unbedeutende Partei handle, werde der Annahme der staatlichen Verfolgung zusätzlich der Bo- den entzogen. Auch sei zu erwähnen, dass ihre diesbezüglichen Ausfüh- rungen vage ausgefallen seien. Ebenso ihre Schilderung, die beiden Täter hätten Polizeiuniformen getragen, vermöge eine staatliche Verfolgung nicht zu begründen. Zudem hätte sie sich kaum an die Kriminalpolizei ge- wandt, wäre sie der Auffassung gewesen, dass sie durch staatliche Organe</w:t>
      </w:r>
    </w:p>
    <w:p>
      <w:r>
        <w:t>D-3289/2019 Seite 10 verfolgt werde. Sodann habe sie aufgeführt, dass sie sich nach der Ermor- dung ihres Bruders nicht mehr sicher gefühlt habe und ihr zudem ihre El- tern geraten hätten, das Land aus Sicherheitsgründen zu verlassen, da ihr Name auf einer schwarzen Liste gestanden habe und auch sie mutmass- lich gesucht worden sei. Aus ihren Ausführungen gehe nicht hervor, dass sie vor ihrer Ausreise zwischen 2011 und ihrer endgültigen Ausreise 2015 einer Verfolgung ausgesetzt gewesen wäre. Ihre Befürchtungen würden le- diglich auf Mutmassungen denn auf konkreten Ereignissen beruhen. Über- dies bestehe kein kausaler, zeitlicher oder sachlicher Zusammenhang zwi- schen den geltend gemachten Ereignissen und ihrer Ausreise. Als Grund ihrer Ausreise habe sie zudem angegeben, dass Leute, welche mit ihrem Bruder zusammengearbeitet hätten, verhaftet worden seien und sie das- selbe Schicksal befürchte. Hätte ein tatsächliches behördliches Verfol- gungsinteresse an ihr bestanden, wären die kamerunischen Behörden ih- rer längst habhaft geworden. Ferner gehe aus ihren Ausführungen nicht hervor, dass sie über ein besonderes politisches Profil verfügen würde, zu- mal sie nicht einmal den korrekten Namen der Partei oder Details zu ihrer politischen Tätigkeit habe nennen können. Insgesamt seien ihre Vorbrin- gen nicht als asylrechtlich relevant zu qualifizieren. An dieser Feststellung würden auch die eingereichten Beweismittel nichts zu ändern vermögen, obwohl nicht bestritten werde, dass ihr Bruder Vorsitzender der Partei ge- wesen und auch verstorben sei, jedoch verbleibe seine Todesursache un- klar. Bei der geltend gemachten Verhaftung und der anschliessenden zweiwö- chigen Haft handle es sich um Übergriffe von kriminellen Dritten, welchen sie an der Grenze zwischen Kamerun und Nigeria zum Opfer gefallen sei. Obwohl die Ermittlung der Täterschaft durch die kamerunischen Behörden schwierig sein dürfte, könne dennoch nicht von einem grundsätzlichen mangelnden Schutzwillen des Staates gesprochen werden. Ausserdem sei nicht davon auszugehen, dass sie zukünftig erneut von denselben Krimi- nellen eine Verfolgung zu befürchten hätte. Auch ihre rund einmonatige Gefangenschaft in Libyen durch Menschenhändler sei nicht asylrelevant, da sich dieses Verbrechen in einem Drittstaat ereignet habe. Des Weiteren würden weder individuellen Gründe noch das Kindswohl ge- gen eine Rückkehr nach Kamerun sprechen.</w:t>
      </w:r>
    </w:p>
    <w:p>
      <w:r>
        <w:rPr>
          <w:b/>
        </w:rPr>
        <w:t>E. 6.2</w:t>
      </w:r>
    </w:p>
    <w:p>
      <w:r>
        <w:t>Die Beschwerdeführerin hielt entgegen, sie habe glaubhaft ausführen können, dass ihr Bruder Präsident einer Oppositionspartei gewesen sei,</w:t>
      </w:r>
    </w:p>
    <w:p>
      <w:r>
        <w:t>D-3289/2019 Seite 11 welcher zwei Wochen nach einem kritischen Interview im Fernsehen um- gebracht worden sei. Aus den beigelegten Schreiben der damaligen An- wältin gehe hervor, dass der Verdacht bestanden habe, er sei von Militär- angehörigen umgebracht worden, es erscheine nachvollziehbar, dass sie sich deshalb auch um ihre Sicherheit Sorgen gemacht habe. Des Weiteren könne auch dem Vorhalt, sie habe sich nach der Ermordung ihres Bruders am 17. April 2010 noch bis 2015 konsequenzlos in Kamerun aufgehalten, nicht gefolgt werden. Anhand von Beweismitteln habe sie darlegen können, dass ihr Name auf der Parteiliste aufgeführt sei und andere Personen die- ser Liste aus Angst ins Ausland geflüchtet oder festgenommen worden seien. Sodann habe sie erfahren, dass sie auf einer Liste für Personen, welche ins Gefängnis müssten, stehe. Ferner habe sie erwähnt, dass nach dem Tod ihres Bruders Personen nach ihr im Laden gefragt hätten. Auf- grund dessen sei sie kurze Zeit später in den Senegal ausgereist. Da sie jedoch zwei Söhne in Kamerun habe, um welche sie sich gesorgt habe, sei sie 2011 zurückgekehrt. Aus dieser Rückkehr lasse sich jedoch nicht schliessen, dass sie zu diesem Zeitpunkt keiner Verfolgungsgefahr ausge- setzt gewesen sei. Es bestehe ein kausaler Zusammenhang zwischen der Ermordung ihres Bruders und ihrer Ausreise. Ferner sei die Argumentation der Vorinstanz, der kamerunische Staat weise keinen mangelnden Schutz- willen in Bezug auf ihre Entführung durch Rebellen auf, nicht nachvollzieh- bar, zumal sich der mangelnde Schutzwille bereits im Hinblick auf den Mordprozess ihres Bruders offensichtlich gezeigt habe. Schliesslich wies sie hinsichtlich des Vollzugs der Wegweisung auf ihren Gesundheitszustand und das Kindswohl ihres Sohnes hin. Auch sei der Lebenspartner der Beschwerdeführerin eine wichtige Bezugsperson für das Kind.</w:t>
      </w:r>
    </w:p>
    <w:p>
      <w:r>
        <w:rPr>
          <w:b/>
        </w:rPr>
        <w:t>E. 6.3</w:t>
      </w:r>
    </w:p>
    <w:p>
      <w:r>
        <w:t>Die Vorinstanz ergänzte in ihrer Vernehmlassung, das Schreiben vom 20. Juni 2019 der in Kamerun beauftragten Anwältin weise darauf hin, dass die Beschwerdeführerin von den kamerunischen Behörden keine Verfol- gung zu befürchten gehabt habe. Obwohl es zufolge dieser Eingabe mög- lich sei, dass es sich bei den Mördern ihres Bruders um Militärangehörige gehandelt habe, sei diese Vermutung weder belegt worden, noch würde diese ein Verfolgungsinteresse an ihr begründen, insbesondere auch auf- grund des Umstands, dass sie sich nach dessen Ermordung konsequenz- los an die Kriminalpolizei habe wenden können. Auch der Umstand, dass sie von 2013 bis 2015 in E._______ mit ihren Kindern gelebt und bis 2014 den Laden geführt habe spreche gegen eine Verfolgung, zumal die Behör-</w:t>
      </w:r>
    </w:p>
    <w:p>
      <w:r>
        <w:t>D-3289/2019 Seite 12 den sie ausfindig hätten machen können. Zudem überzeuge ihre Argumen- tation nicht, dass sie den vollständigen Namen ihrer Partei wegen den schwierigen Umständen an der Anhörung nicht habe korrekt nennen kön- nen, da sie diesen bereits anlässlich der BzP falsch zitiert habe. Bezüglich ihrer psychischen Problemen sei zu erwähnen, dass sie medizi- nische Rückkehrhilfe beantragen könne, sollte eine Behandlung im Hei- matland als zu teuer erscheinen. Auch die im Arztbericht vom 17. Juni 2019 erwähnte erhöhte Suizidalität im Falle einer Rückkehr würde einer Weg- weisung nicht im Wege stehen, eine Ausreise könne sorgfältig und mit me- dikamentöser Behandlung geplant werden, um gesundheitliche Schäden zu vermeiden. Auch habe sie neben ihren beiden in Kamerun lebenden Söhnen auch vier Schwestern und zwei Brüder, welche in E._______ leben würden, weshalb nicht von einem ungenügenden Beziehungsnetz gespro- chen werden könne. Auch die Beziehung zu ihrem neuen Partner sei noch zu kurz und ungefestigt, als dass dieser eine enge Beziehung zu ihrem Sohn hätte aufbauen können, weshalb auch nicht von einer Kindswohlge- fährdung ausgegangen werden könne. Schliesslich gehe aus den Akten nicht hervor, dass mit einer baldigen Eheschliessung zu rechnen sei, da bisher kein Gesuch um Vorbereitung der Eheschliessung eingegangen sei.</w:t>
      </w:r>
    </w:p>
    <w:p>
      <w:r>
        <w:rPr>
          <w:b/>
        </w:rPr>
        <w:t>E. 6.4</w:t>
      </w:r>
    </w:p>
    <w:p>
      <w:r>
        <w:t>In der Replik wurde moniert, es treffe nicht zu, dass sie nach der Er- mordung ihres Bruders keiner Verfolgungsgefahr seitens der Behörden ausgesetzt gewesen sei. So habe ihr die Kriminalpolizei bereits am Tag der Einreichung der Anzeige zu verstehen gegeben, dass es ein Fehler gewe- sen sei, dass sie sich an die Polizei gewandt habe. Zudem sei bereits am selben Tag, nachdem der Bruder verstorben sei, im Spital polizeilich nach ihr gefragt worden. Ferner spreche auch die Vorsichtsmassnahme, dass sie sich mit der beauftragten Anwältin in einer anderen Kanzlei getroffen habe, für die Befürchtung, verfolgt zu werden. Sodann sei es unzutreffend, dass sie bis 2014 im ehemaligen Laden ihres Bruders gearbeitet habe, vielmehr habe sie sich unmittelbar nach dessen Ermordung zurückgezo- gen und eine ihrer Schwestern habe ihn bis 2012 weitergeführt. Ihre Aus- sage, bis 2014 gearbeitet zu haben, betreffe die Arbeit im (…) einer ande- ren Schwester. Weiter sei es nicht korrekt zu behaupten, dass sie bis zu ihrer Ausreise in E._______ gelebt habe, vielmehr habe sie aufgrund ihrer Angst vor den Behörden und einer Verhaftung öfters den Wohnort gewech- selt und sich hauptsächlich bei den Eltern im Dorf aufgehalten. Zudem sei sie aus Sicherheitsgründen vermehrt auch im Ausland gewesen.</w:t>
      </w:r>
    </w:p>
    <w:p>
      <w:r>
        <w:t>D-3289/2019 Seite 13 Hinsichtlich der von der Vorinstanz erwähnten Möglichkeit, sich bei einer Rückkehr weiterhin psychiatrisch im Heimatland behandeln zu lassen, sei zu erwähnen, dass sie sich bereits in eine solche begeben habe, wobei sie hätte die Umstände der Ermordung ihres Bruders schriftlich festhalten und unterschreiben müssen, und, dass sie psychisch krank sei. Sie habe be- fürchtet, dass sie aufgrund dieser Aussagen den Behörden ausgeliefert ge- wesen wäre. Aus dem eingereichten Arztbericht gehe zudem hervor, dass ein gefestigter Aufenthaltsstatus ihre Gesundheit positiv beeinflussen würde. Schliesslich sei zu erwähnen, dass sie in einer stabilen Beziehung sei und vorhabe, zu heiraten. Aus diesem Grund sei die Behauptung der Vorinstanz, sie könne im Falle einer Heirat den Familiennachzug auch im Ausland abwarten, nicht nachvollziehbar. Schliesslich sei auch das Kinds- wohl unberücksichtigt geblieben.</w:t>
      </w:r>
    </w:p>
    <w:p>
      <w:r>
        <w:rPr>
          <w:b/>
        </w:rPr>
        <w:t>E. 7.1</w:t>
      </w:r>
    </w:p>
    <w:p>
      <w:r>
        <w:t>Die Vorinstanz prüfte die Glaubhaftigkeit der Vorfluchtgründe der Be- schwerdeführerin im Sinne von Art. 7 AsylG nicht und ging bei der Prüfung der Asylrelevanz implizit davon aus, dass ihre Vorbringen glaubhaft seien. Diese Vorgehensweise ist grundsätzlich nicht zu beanstanden, zumal auch das Bundesverwaltungsgericht vorliegend zum Schluss kommt, dass die Schilderungen der Beschwerdeführerin zu ihren politischen Aktivitäten und denen ihres Bruders als durchaus glaubhaft zu qualifizieren sind. Die Grün- dung der Partei MSDJC wird durch die dem Asylgesuch beigelegten Kopie des Gründungsaktes vom 3. Juli 2008 ebenso belegt, wie das von ihrem Bruder geführte Präsidium und ihre Funktion als Sekretärin. Des Weiteren wurde auch der Tod des Bruders durch die eingereichten Beweismittel be- legt. Hingegen verbleiben die Umstände seines Todes insgesamt unklar. Bereits der Tathergang der Ermordung wirkt – auch unter Berücksichtigung der labilen gesundheitlichen Situation der Beschwerdeführerin sowie der Gesamtumstände anlässlich der Befragung – insgesamt nicht plausibel. So erklärte sie, dass ihr Bruder im Laden angeschossen worden sei und sie in Dialekt gewarnt habe, im Haus versteckt zu bleiben, dies, während sie am Duschen gewesen sei. Zum einen hätte sie unter der Dusche kaum ein Geräusch einer Waffe oder den Wortlaut ihres Bruders hören respektive verstehen können. Zum anderen wären die Täter aufgrund des Geräu- sches der Dusche und der brüderlichen Warnung darauf aufmerksam ge- worden, dass sich noch jemand im Laden befindet und hätten auch sie in der Folge finden müssen (vgl. act. A27/25, F130-133). Sodann erscheint es kaum möglich, dass sie sich unter den beschriebenen Umständen un- bemerkt verstecken und gleichzeitig Details zu den Tätern gesehen haben konnte. Gemäss Beschwerdeschrift soll sie beobachtet haben, wie einer</w:t>
      </w:r>
    </w:p>
    <w:p>
      <w:r>
        <w:t>D-3289/2019 Seite 14 der Täter eine Schusswaffe in seinem Hemd versteckte, die Waffe auf den Bruder abfeuerte und ihm schwere Verletzungen zufügte («… un individu qui apparemment dissimulait une arme à feu sous sa chemise, a braqué l'arme sur lui et a tiré, lui infligeant des blessures graves.» [vgl. Kopie der Anklageschrift der Anwältin H._______ vom 23. April 2010]). Im Übrigen ist die Anklageschrift als Gefälligkeitsschreiben mit fehlendem Beweiswert zu qualifizieren, zumal diese wesentliche inhaltliche Fehler aufweist und aus- serdem dem Gericht lediglich in Kopie vorliegt. Der Bruder der Beschwer- deführerin ist nicht – wie der Beschwerdeschrift zu entnehmen ist – am 17. Mai 2010 verstorben, sondern bereits am 17. April 2010. Auch wenn handschriftliche, schwer lesbare Anpassungen auf der Beschwerdeschrift vorgenommen wurden und der falsche Monat mutmasslich korrigiert sowie überschrieben worden war, erscheint es ziemlich unwahrscheinlich, dass eine solch fehlerhafte, auf einem Computer verfasste Anklageschrift hand- schriftlich korrigiert, ausgedruckt und einer Behörde übergeben worden sein soll.</w:t>
      </w:r>
    </w:p>
    <w:p>
      <w:r>
        <w:rPr>
          <w:b/>
        </w:rPr>
        <w:t>E. 7.2</w:t>
      </w:r>
    </w:p>
    <w:p>
      <w:r>
        <w:t>Weiter erklärte die Beschwerdeführerin, der Tod respektive die Ermor- dung ihres Bruders sei aufgrund seiner Tätigkeit als Präsident der MSDJC und deshalb politisch motiviert gewesen. Als seine ehemalige Sekretärin habe sie dasselbe Schicksal befürchten müssen und gehe davon aus, dass die Ermordung durch staatliche Akteure – die Polizei oder Gerüchten zu- folge, vom Militär – in Auftrag gegeben worden sei, weshalb auch sie ge- sucht werde. In diesem Zusammenhang ist auf die vorinstanzliche Verfü- gung zu verweisen und festzuhalten, dass zwar der Tod ihres Bruders un- bestritten ist, wohingegen dessen Umstände sowie die Gründe unklar ver- bleiben (vgl. E.6.2). Dass dieser aufgrund seiner Parteiaktivitäten respek- tive dem Fernsehauftritt vom 2. April 2010 durch staatliche Akteure verfolgt und umgebracht worden sein soll, ist lediglich eine Vermutung der Be- schwerdeführerin. Dazu gilt es zu bemerken, dass gemäss der Friedrich- Ebert-Stiftung (FES) 2016 in Kamerun 60 Fernsehsender existierten, wo- bei das Radio nach wie vor das beliebteste Medium für die kamerunischen Bürger zur Nachrichteninformation darstellte (http://library.fes.de/pdf-fi- les/bueros/africa-media/15528.pdf. S. 5, abgerufen am 12. Mai 2022). An- gesichts dieser zahlreich vorhandenen Fernsehsender ist kaum davon auszugehen, dass das ausgestrahlte Interview von einem breiten Publikum gesehen worden war und eine bedeutsame Wirkung gehabt haben konnte. Zudem handelte es sich bei der MSDJC um eine eher unbedeutende poli- tische Partei. Gemäss dem U.S. Department of State existierten 2010 in Kamerun mehr als 253 und Ende 2020 über 300 politische Parteien, wobei</w:t>
      </w:r>
    </w:p>
    <w:p>
      <w:r>
        <w:t>D-3289/2019 Seite 15 deren Grossteil schwach sei und eine sehr begrenzte gesellschaftliche Ver- ankerung hätte. Zudem seien die Parteien jeweils in bestimmten Regionen verwurzelt oder stark ethnisch geprägt. Bei jeder Wahl würden neue Par- teien entstehen, die sich Ambitionen bestimmter Eliten bedienten. Die ins- gesamt über 300 Parteien hätten in der Regel keine Absicht, Sitze zu ge- winnen, sondern seien für das kamerunische Regime meist eine Möglich- keit, «das Wasser zu trüben», während andere schlicht Mechanismen für lokale Eliten seien, um Ressourcen zu generieren (vgl. https://www.state.gov/reports/2020-country-reports-on-human-rights-prac- tices/cameroon; https://www.bti-project.org/content/en/downloads/re- ports/country_report_2020_CMR.pdf, beide abgerufen am 12. Mai 2022). Vor diesem Hintergrund kann kaum davon ausgegangen werden, dass das kamerunische Regime Interesse an Mitgliedern einer eher kleinen und un- bedeutenden Partei aufgewiesen haben könnte.</w:t>
      </w:r>
    </w:p>
    <w:p>
      <w:r>
        <w:rPr>
          <w:b/>
        </w:rPr>
        <w:t>E. 7.3</w:t>
      </w:r>
    </w:p>
    <w:p>
      <w:r>
        <w:t>Hinsichtlich der Befürchtung der Beschwerdeführerin, von staatlicher Seite verfolgt zu werden, ist Folgendes festzustellen: Neben der Tatsache, dass sie sich lediglich niederschwellig mit der Partei ihres Bruders beschäf- tigte und somit kaum auf dem politischen Parkett aufgefallen sein dürfte (vgl act. A27/25, F118-128, E. 6.2), konnte sie weder die konkreten Um- stände derjenigen Personen nennen, welche Mitglieder der Partei gewe- sen seien und deshalb verhaftet oder gar getötet worden sein sollen. Auch ihre Schilderung, ihr Name figuriere auf einer «Liste», verbleibt eine sub- jektive Befürchtung ihrerseits, ohne dass aus ihren diesbezüglichen Aus- führungen objektive Anhaltspunkte einer konkreten Verfolgungsgefahr zu erkennen wären. Die beiden erwähnten Besuche im Laden nach dem Tod ihres Bruders erscheinen nachvollziehbarerweise zwar unangenehm, je- doch ist daraus keine konkrete Bedrohung zu erkennen. Gegen ein staat- liches Verfolgungsinteresse spricht denn auch, dass sie erwähnte, dass die Behörden einmalig nach ihr im Laden gefragt hätten, wobei sie daraufhin problemlos ihre Identität habe verheimlichen können (vgl. act. A27/25, F181). Wäre ein tatsächliches behördliches Interesse an ihr vorhanden ge- wesen, wäre es auch nach dem Schliessen ihres Ladens ebenso ein Leich- tes gewesen, sie in einem Quartier von E._______ aufzuspüren, wo sie sich bis zu ihrer Ausreise unbehelligt hat aufhalten können, wie sie im La- den ihrer Schwester, wo sie bis 2014 gearbeitet hat, zu finden. Des Weite- ren ist festzustellen, dass sie mehrmals sowie problemlos legal über den Flughafen E._______ ins Ausland aus- und später wieder nach Kamerun einreiste (jeweils am 10. Juni, 20. Juni, 22. Juli, 3. August und 8. Dezem- ber 2011, 24. Februar, 17. Mai und 15. Juni 2012, 19. und 24. Juli 2014 [vgl. Passkopie]). Ferner weist ihre Initiative, erst 2013 – also rund drei</w:t>
      </w:r>
    </w:p>
    <w:p>
      <w:r>
        <w:t>D-3289/2019 Seite 16 Jahre nach dem Tod ihres Bruders – Schritte zu ihrer Löschung aus der Parteiliste unternommen zu haben, auf fehlende Furcht vor einer mögli- chen Verfolgung hin (vgl. act. A27/25, F173, F180). In diesem Zusammen- hang ist auch zu erwähnen, dass sie sich bei einer tatsächlichen subjekti- ven Furcht um eine allfällige Löschung ihres Namens an ihre Anwältin hätte wenden können, zumal sie diese bereits kurz nach dem Tod ihres Bruders kontaktierte. Schliesslich gehen aus ihren Schilderungen keine weiteren Anzeichen hervor, dass sie nach dem Tod ihres Bruders weitere negative Konsequenzen erfuhr, obwohl sie anlässlich der Anhörung mehrmals da- nach gefragt worden war (vgl. act. A27/25, F114, F116-117, F138, F140- 142, F151-154, F162, F172, F178).</w:t>
      </w:r>
    </w:p>
    <w:p>
      <w:r>
        <w:rPr>
          <w:b/>
        </w:rPr>
        <w:t>E. 7.4</w:t>
      </w:r>
    </w:p>
    <w:p>
      <w:r>
        <w:t>Abschliessend ist der Vorinstanz beizupflichten, dass die Festnahme der Beschwerdeführerin anlässlich ihrer Ausreise unter dem Vorwand, den Boko Haram anzugehören, keine Asylrelevanz aufweist, zumal es sich – ihren Schilderungen zufolge (vgl. act. A27/25, F185-193, F196) – dabei um eine nichtstaatliche Verfolgung handelt und von der Schutzbereitschaft als auch der Schutzfähigkeit des kamerunischen Staates auszugehen ist. Die Beschwerdeführerin ist seither nicht nach Kamerun zurückgekehrt, ihre Fa- milienangehörigen haben deshalb keine nachteiligen Konsequenzen erlit- ten und sie hat keine Anzeige erstattet (vgl. act. A27/25, F196), womit sie weder fehlenden Schutzwillen noch fehlende Schutzfähigkeit ihres Heimat- staates geltend machen und sich folglich nicht auf den subsidiären flücht- lingsrechtlichen Schutz durch die Schweiz berufen kann. Überdies ist nicht von einer gezielten Verfolgung der Beschwerdeführerin auszugehen, viel- mehr handelte es sich gemäss ihrer Darstellung um ein zufälliges Zusam- mentreffen mit ihren Entführern. Weiter erklärte sie, den Entschluss zu ihrer Ausreise aus Kamerun bereits vor der geltend gemachten Entführung ge- fasst zu haben, womit dieses Ereignis nicht ausschlaggebend für das Ver- lassen ihres Heimatstaates gewesen sein konnte. So schrecklich und be- dauernswert die Ereignisse auch sind, welche sie in Libyen durchstehen musste, haben diese in einem Drittstaat stattgefunden und entfalten dem- entsprechend keine Asylrelevanz.</w:t>
      </w:r>
    </w:p>
    <w:p>
      <w:r>
        <w:rPr>
          <w:b/>
        </w:rPr>
        <w:t>E. 7.5</w:t>
      </w:r>
    </w:p>
    <w:p>
      <w:r>
        <w:t>Zusammenfassend ist feststellen, dass es der Beschwerdeführerin nicht gelungen ist, begründeterweise darzulegen, dass sie wegen ihren po- litischen Aktivitäten in der Partei ihres Bruders gesucht wurde und eine asylrechtlich relevante Verfolgung erlitten hat oder zukünftig zu befürchten hätte.</w:t>
      </w:r>
    </w:p>
    <w:p>
      <w:r>
        <w:t>D-3289/2019 Seite 17</w:t>
      </w:r>
    </w:p>
    <w:p>
      <w:r>
        <w:rPr>
          <w:b/>
        </w:rPr>
        <w:t>E. 7.6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 Vorliegend wurde der Beschwerdeführerin aufgrund ihrer Ehe mit einem Schweizerischen Ehegatten gemäss dem Ausländer- und Integrationsgesetz (AIG [SR 142.20]) eine Aufenthaltsbewilligung durch die Migrationsbehörde des Kantons I._______ ausgestellt. Eine Prü- fung von allfälligen Wegweisungshindernissen ist demzufolge vorliegend gegenstandslos geworden.</w:t>
      </w:r>
    </w:p>
    <w:p>
      <w:r>
        <w:rPr>
          <w:b/>
        </w:rPr>
        <w:t>E. 8.2</w:t>
      </w:r>
    </w:p>
    <w:p>
      <w:r>
        <w:t>Die Beschwerde ist demnach hinsichtlich der Frage der Anordnung der Wegweisung aus der Schweiz und des Wegweisungsvollzuges (vgl. E. 2) als gegenstandslos geworden abzuschreiben.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Nachdem jedoch das mit der Beschwerde eingegangene Gesuch um Gewährung der unentgeltli- chen Prozessführung mit Zwischenverfügung vom 9. Juli 2019 gutgeheis- sen wurde, werden keine Verfahrenskosten auferlegt.</w:t>
      </w:r>
    </w:p>
    <w:p>
      <w:r>
        <w:rPr>
          <w:b/>
        </w:rPr>
        <w:t>E. 10</w:t>
      </w:r>
    </w:p>
    <w:p>
      <w:r>
        <w:t>Mit Eingabe vom 14. August 2019 reichte die Rechtsbeiständin eine Kos- tennote in der Höhe von Fr. 2'514.– ein. Dabei ging sie von einem Stun- denansatz von Fr. 250.– aus. Mit Zwischenverfügung vom 9. Juli 2019 war darauf aufmerksam gemacht worden, dass bei einer nicht-anwaltlichen Vertretung bei einer amtlichen Rechtsvertretung in der Regel von einem Stundenansatz von Fr. 100.– bis Fr. 150.– ausgegangen werde (vgl. Art. 12 i.V.m. Art. 10 Abs. 2 VGKE). Das Honorar ist entsprechend zu kürzen, der Stundenansatz auf Fr. 150.– herabzusetzen und der amtlichen Rechtsbei- ständin ein Honorar von Fr. 1'535.– (inklusive Auslagen) auszurichten. (Dispositiv nächste Seite)</w:t>
      </w:r>
    </w:p>
    <w:p>
      <w:r>
        <w:t>D-3289/2019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