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D-3284/2006 vom 5. Dezember 2008</w:t>
      </w:r>
    </w:p>
    <w:p>
      <w:r>
        <w:t>Bundesverwaltungsgericht, 2008-12-05, FR</w:t>
      </w:r>
    </w:p>
    <w:p>
      <w:r>
        <w:rPr>
          <w:b/>
        </w:rPr>
        <w:t xml:space="preserve">Quelle: </w:t>
      </w:r>
      <w:r>
        <w:t>https://mcp.opencaselaw.ch/entscheid/bvger_D-3284_2006</w:t>
      </w:r>
    </w:p>
    <w:p>
      <w:r>
        <w:t>FR: TAF D-3284/2006 du 5 décembre 2008</w:t>
      </w:r>
    </w:p>
    <w:p>
      <w:r>
        <w:t>IT: TAF D-3284/2006 del 5 dicembre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Les recours qui étaient pendants devant la CRA au 31 décembre 2006 sont traités par le Tribunal administratif fédéral, entré en fonction le 1er janvier 2007, dans la mesure où il est compétent. Tel est le cas en l'espèce. Le nouveau droit de procédure s'applique (art. 53 al. 2 LTAF).</w:t>
      </w:r>
    </w:p>
    <w:p>
      <w:r>
        <w:rPr>
          <w:b/>
        </w:rPr>
        <w:t>E. 1.3</w:t>
      </w:r>
    </w:p>
    <w:p>
      <w:r>
        <w:t>Les recourants ont qualité pour recourir. Présenté dans la forme et le délai prescrits par la loi, le recours est recevable (art. 48, 50 et 52 PA).</w:t>
      </w:r>
    </w:p>
    <w:p>
      <w:r>
        <w:rPr>
          <w:b/>
        </w:rPr>
        <w:t>E. 2</w:t>
      </w:r>
    </w:p>
    <w:p>
      <w:r>
        <w:t>Les recourants n'ont pas contesté la décision de l'ODM en tant qu'elle leur dénie la qualité de réfugié, rejette leur demande d'asile et prononce leur renvoi de Suisse, de sorte que, sur ces points, elle a acquis force de chose décidée. Reste à examiner si l'ODM a, à juste titre, ordonné l'exécution du renvoi des recourants dans leur pays d'origine.</w:t>
      </w:r>
    </w:p>
    <w:p>
      <w:r>
        <w:rPr>
          <w:b/>
        </w:rPr>
        <w:t>E. 3.1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 de 1931, RS 1 113).</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4.2</w:t>
      </w:r>
    </w:p>
    <w:p>
      <w:r>
        <w:t>En l'espèce, les recourants n'ayant pas remis en cause la décision de l'ODM du 30 mars 2004 en tant qu'elle leur dénie la reconnaissance de la qualité de réfugié, ils ne sauraient se prévaloir du principe de non-refoulement prévu à l'art. 5 LAsi, disposition qui s'applique uniquement aux réfugiés. En outre, aucun élément du dossier ne permet d'admettre l'existence d'un risque concret et sérieux pour les recourants d'être exposés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Force est de constater, du reste, que les intéressés ne le prétendent pas. L'exécution du renvoi est donc licite au sens de l'art.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w:t>
      </w:r>
    </w:p>
    <w:p>
      <w:r>
        <w:rPr>
          <w:b/>
        </w:rPr>
        <w:t>E. 5.1.1</w:t>
      </w:r>
    </w:p>
    <w:p>
      <w:r>
        <w:t>Dans l'examen du caractère raisonnablement exigible de l'exécution du renvoi, l'autorité doit prêter une attention particulière à la situation des enfants. En effet, l'intérêt supérieur de l'enfant, en vertu des engagements internationaux souscrits par la Suisse, constitue un facteur important à prendre en considération. Parmi les critères entrant en ligne de compte, comme l'âge, le degré de maturité de l'enfant, ses liens de dépendance, la qualité de ses relations, il y a aussi son niveau de formation et d'intégration. Il faudra prendre garde d'éviter qu'un enfant bien intégré en Suisse soit déraciné et confronté à d'importantes difficultés d'insertion, ou de réinsertion, dans son pays d'origine (cf. Jurisprudence et informations de la Commission suisse de recours en matière d'asile [JICRA] 2006 no 24 consid. 6.2.3 p. 259 s., JICRA 2005 no 6 p.55 ss, JICRA 1998 no 13 consid. 5e/bb p. 99).</w:t>
      </w:r>
    </w:p>
    <w:p>
      <w:r>
        <w:rPr>
          <w:b/>
        </w:rPr>
        <w:t>E. 5.1.2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5.2</w:t>
      </w:r>
    </w:p>
    <w:p>
      <w:r>
        <w:t>En l'espèce, 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(cf. JICRA 2003 no 8 consid. 8b p. 55, JICRA 2000 n° 2 consid. 7 p. 18 ss, JICRA 1999 no 6 p. 34 ss consid. 6 let. a à e , JICRA 1999 no 8 p. 50 ss consid. 7 let. e à n). Le Conseil fédéral, par décision du 25 juin 2003 avec effet au 1er août 2003, a d'ailleurs désigné cet Etat comme étant un pays exempt de persécutions au sens de l'art. 34 al. 1 LAsi.</w:t>
      </w:r>
    </w:p>
    <w:p>
      <w:r>
        <w:rPr>
          <w:b/>
        </w:rPr>
        <w:t>E. 5.3</w:t>
      </w:r>
    </w:p>
    <w:p>
      <w:r>
        <w:t>En ce qui concerne la situation personnelle des recourants, le Tribunal relève que le traitement médicamenteux et les contrôles sanguins et cliniques réguliers dont est tributaire l'enfant D._______ sont disponibles en Bosnie et Herzégovine, comme l'atteste le certificat médical du 12 juin 2003 versé au dossier. A._______ a également pu bénéficier, dans son pays d'origine, des traitements qui lui étaient prodigués en Suisse avant son rapatriement, le 12 mars 2003 (certificats médicaux le concernant cités let. B supra ; cf. également l'audition du recourant du 1er septembre 2003 p. 8 : "J'avais des médicaments qui provenaient de la Suisse. J'allais uniquement parler avec le médecin, en Bosnie. Le médecin en Bosnie m'a aussi donné quelques tablettes que j'avais en réserve. Je lui ai montré les tablettes de la Suisse, il m'a dit que c'était de bonnes tablettes et il m'en a remis d'autres tablettes."). Les coûts engendrés par ces traitements sont en principe couverts par l'assurance maladie obligatoire, y compris pour les personnes qui retournent en Bosnie et Herzégovine et qui se retrouvent au chômage. Pour cela, celles-ci doivent s'adresser dans les délais prévus à cet effet à l'office de l'emploi qui prend alors en charge les cotisations d'assurance maladie (cf. l'arrêt du Tribunal administratif fédéral D-7122/2006 du 3 juin 2008 consid. 8.3.5.1 p. 18 ss ; JICRA 2002 no 12 p. 102 ss). Si la couverture d'assurance maladie ne devait pas suffire à couvrir leurs frais médicaux, les recourants auraient alors encore la possibilité de s'adresser à leurs familiers domiciliés en Suisse. Ils pourront aussi solliciter de l'ODM l'octroi d'une aide au retour (cf. art 93 al. 1 let. c LAsi et art. 75 al. 2 OA 2), consistant en particulier en la fourniture d'une réserve de médicaments pour un temps limité ainsi qu'en l'octroi d'une aide financière supplémentaire. De surcroît, l'on peut raisonnablement attendre des époux A._______ et B._______ qu'ils recherchent activement un emploi dans leur pays d'origine afin de pouvoir contribuer aux financement des traitements. Dans l'examen du caractère raisonnablement exigible de l'exécution du renvoi, le bien des enfants constitue un critère important à prendre en considération (cf. consid. 5.1.1.et jurisp. citée ; cf. aussi arrêts du Tribunal administraitf fédéral C-2799/2007 du 26 février 2008 consid. 6.4 et C-378/2006 du 12 septembre 2008 consid. 6.2.3, 6.2.4 et 6.3). En l'espèce, le Tribunal est conscient des difficultés de réinsertion que les enfants E._______ et D._______, actuellement âgés de respectivement 8 et bientôt 13 ans, rencontreront à leur retour en Bosnie et Herzégovine. Toutefois, nonobstant leur scolarisation en Suisse, ceux-ci, vu leur jeune âge, sont encore imprégnés du contexte culturel et du mode de vie de leur parents, de sorte que leur réintégration dans leur pays d'origine s'en trouvera facilitée. En outre, contrairement à ce que les recourants prétendent, l'enfant D._______ n'a pas été chassé, en Bosnie et Herzégovine, de l'établissement où il était scolarisé. En effet, le directeur de l'école (cf. son écrit versé en cause cité let. B supra) a proposé de placer cet enfant dans une structure spécialisée après avoir constaté chez lui des troubles de l'adaptation. D._______ pourra donc, cas échéant, intégrer un enseignement spécialisé. Dans ces conditions, il n'y a pas lieu d'admettre qu'un retour des enfants en Bosnie et Herzégovine représenteraient pour eux un déracinement complet, dont les conséquences risqueraient de porter une sérieuse atteinte à leur équilibre et à leur développement futur. Partant, leur renvoi de Suisse ne viole pas de l'art. 3 de la Convention du 20 novembre 1989 relative aux droits de l'enfant (CDE, RS 0.107). Enfin, il sied de relever que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matière d'exécution du renvoi (cf. JICRA 2005 no 24 consid. 10.1 p. 215 ; JICRA 2003 no 24 consid. 5e p. 159 ; JICRA 1996 no 2 p. 12 ss ; JICRA 1994 no 19 consid. 6b p. 148 s.).</w:t>
      </w:r>
    </w:p>
    <w:p>
      <w:r>
        <w:rPr>
          <w:b/>
        </w:rPr>
        <w:t>E. 5.4</w:t>
      </w:r>
    </w:p>
    <w:p>
      <w:r>
        <w:t>Pour ces motifs, l'exécution du renvoi doit être considérée comme raisonnablement exigible.</w:t>
      </w:r>
    </w:p>
    <w:p>
      <w:r>
        <w:rPr>
          <w:b/>
        </w:rPr>
        <w:t>E. 6</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7.1</w:t>
      </w:r>
    </w:p>
    <w:p>
      <w:r>
        <w:t>Cela étant, l'exécution du renvoi doit être déclarée conforme aux dispositions légales.</w:t>
      </w:r>
    </w:p>
    <w:p>
      <w:r>
        <w:rPr>
          <w:b/>
        </w:rPr>
        <w:t>E. 7.2</w:t>
      </w:r>
    </w:p>
    <w:p>
      <w:r>
        <w:t>Il s'ensuit que le recours doit être rejeté.</w:t>
      </w:r>
    </w:p>
    <w:p>
      <w:r>
        <w:rPr>
          <w:b/>
        </w:rPr>
        <w:t>E. 8</w:t>
      </w:r>
    </w:p>
    <w:p>
      <w:r>
        <w:t>Vu l'issue de la cause, il y aurait lieu de mettre les frais de la procédure, fixés à Fr. 600.-, à la charge des recourants (cf. art. 63 al. 1 PA et art. 2 et 3 let. b du règlement du 21 février 2008 concernant les frais, dépens et indemnités fixés par le Tribunal administratif fédéral [FITAF, RS 173.320.2]). Toutefois, il y est exceptionnellement renoncé (cf. art. 63 al. 1 i.f.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