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D-3283/2015 vom 3. Mai 2016</w:t>
      </w:r>
    </w:p>
    <w:p>
      <w:r>
        <w:t>Bundesverwaltungsgericht, 2016-05-03, DE</w:t>
      </w:r>
    </w:p>
    <w:p>
      <w:r>
        <w:rPr>
          <w:b/>
        </w:rPr>
        <w:t xml:space="preserve">Quelle: </w:t>
      </w:r>
      <w:r>
        <w:t>https://mcp.opencaselaw.ch/entscheid/bvger_D-3283_2015</w:t>
      </w:r>
    </w:p>
    <w:p>
      <w:r>
        <w:t>FR: TAF D-3283/2015 du 3 mai 2016</w:t>
      </w:r>
    </w:p>
    <w:p>
      <w:r>
        <w:t>IT: TAF D-3283/2015 del 3 maggio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Das SEM kam in der angefochtenen Verfügung vom 24. April 2015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5.2</w:t>
      </w:r>
    </w:p>
    <w:p>
      <w:r>
        <w:t>Der Beschwerdeführer gab im Rahmen seines Asylverfahrens anlässlich der Befragung zur Person (BzP) vom 28. Februar 2012 und der Anhörung vom 17. März 2014 unmissverständlich zu Protokoll, seit dem 23. Oktober 2011 mit B._______, die sich zurzeit C._______ aufhalte, verheiratet zu sein und von Oktober 2011 bis im Februar 2012 zusammengelebt zu haben (vgl. B 8 S. 3 und B 22 Frage 23 ff. S. 4 gemäss Aktenverzeichnis SEM). Dieser Sachverhalt wird - auch wenn die Echtheit dieses Dokumentes fraglich sein kann - mit dem als Beweismittel eingereichten Heiratszertifikat sowie mit den Angaben in der abgegebenen Stellungnahme vom 26. März 2015 grundsätzlich bestätigt (vgl. Bst. C und D hiervor). Anhaltspunkte für ein Zusammenleben zwischen dem Beschwerdeführer und B._______ vor dessen Ausreise aus Eritrea im Dezember 2008 sind keine ersichtlich (B 8 S. 7). Die vorinstanzlichen Erwägungen geben somit zu keinen Beanstandungen Anlass.</w:t>
      </w:r>
    </w:p>
    <w:p>
      <w:r>
        <w:rPr>
          <w:b/>
        </w:rPr>
        <w:t>E. 5.3</w:t>
      </w:r>
    </w:p>
    <w:p>
      <w:r>
        <w:t>Die Vorbringen des Beschwerdeführers in der Rechtsmitteleingabe sind nicht geeignet, eine Änderung der angefochtenen Verfügung herbeizuführen. Zu der bei der Vorinstanz kommentarlos und ohne entsprechendes Zustellkuvert eingereichten Heiratsurkunde (Bst. I hiervor) ist zunächst festzuhalten, dass eritreischen Dokumenten aufgrund ihrer leicht käuflichen Erwerbbarkeit äusserst geringer Beweiswert zukommt. Aus den Akten ergibt sich sodann, dass der Beschwerdeführer seit der Einreise in die Schweiz über telefonischen Kontakt mit der Familie in Eritrea verfügt (vgl. B 8 S. 7 sowie B 22 Frage 11 S. 3). Eine Erklärung, weshalb er besagtes Beweismittel erst jetzt einreiche, unterbleibt. Ausserdem geht aus seiner Stellungnahme vom 26. März 2015 unter anderem klar hervor, dass er sowohl kirchlich und zivil C._______ und nicht in Eritrea geheiratet habe. Auf die Frage, von wann bis wann er gemeinsam mit seiner Ehefrau zusammengelebt habe, antwortete er schriftlich, er habe mit ihr C._______ von der Hochzeit bis zu seiner Einreise in die Schweiz zusammengelebt. Mithin vermag der Beschwerdeführer keine Belege für seine Behauptung zu erbringen, wonach er vor seiner Ausreise aus Eritrea mit B._______ zusammengelebt haben könnte. Die nachteiligen Konsequenzen der Beweislosigkeit in diesem Zusammenhang sind demnach vom Beschwerdeführer in Eigenverantwortung zu tragen. Auf die Vorbringen in der Beschwerde, welche in den Akten keine Stütze finden und als nachgeschobene Behauptungen zu qualifizieren sind, braucht nicht eingegangen zu werden.</w:t>
      </w:r>
    </w:p>
    <w:p>
      <w:r>
        <w:rPr>
          <w:b/>
        </w:rPr>
        <w:t>E. 5.4</w:t>
      </w:r>
    </w:p>
    <w:p>
      <w:r>
        <w:t>Zusammenfassend ist festzuhalten, dass die Voraussetzungen für den Einschluss von B._______ in das Familienasyl gemäss Art. 51 Abs. 1 AsylG respektive die Bewilligung ihrer Einreise in die Schweiz gemäss Art. 51 Abs. 4 AsylG nicht erfüllt sind. Das SEM hat somit deren Einreise in die Schweiz sowie das Asylgesuch zu Recht abgelehnt.</w:t>
      </w:r>
    </w:p>
    <w:p>
      <w:r>
        <w:rPr>
          <w:b/>
        </w:rPr>
        <w:t>E. 6</w:t>
      </w:r>
    </w:p>
    <w:p>
      <w:r>
        <w:t>Aus diesen Erwägungen ergibt sich, dass die Verfügung des SEM vom 24. April 2015 Bundesrecht nicht verletzt (Art. 106 AsylG). Die Beschwerde ist demnach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und der am 9. Juni 2015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