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D-3282/2011 vom 8. Juni 2012</w:t>
      </w:r>
    </w:p>
    <w:p>
      <w:r>
        <w:t>Bundesverwaltungsgericht, 2012-06-08, DE</w:t>
      </w:r>
    </w:p>
    <w:p>
      <w:r>
        <w:rPr>
          <w:b/>
        </w:rPr>
        <w:t xml:space="preserve">Quelle: </w:t>
      </w:r>
      <w:r>
        <w:t>https://mcp.opencaselaw.ch/entscheid/bvger_D-3282_2011</w:t>
      </w:r>
    </w:p>
    <w:p>
      <w:r>
        <w:t>FR: TAF D-3282/2011 du 8 juin 2012</w:t>
      </w:r>
    </w:p>
    <w:p>
      <w:r>
        <w:t>IT: TAF D-3282/2011 del 8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machte im erstinstanzlichen Verfahren keine er­littene oder drohende Verfolgung durch Behörden oder private Dritte gel­tend. Seine Darlegungen in der Beschwerde, wonach er mit der Politik seines Heimatlandes nicht einverstanden sei, können in ihrer Vagheit eben­falls nicht als Verfolgung gewertet werden. Das BFM hat im Weiteren zutreffend festgehalten, die vorgebrachten schwierigen Lebensbedingun­gen seien im Asylpunkt nicht relevant.</w:t>
      </w:r>
    </w:p>
    <w:p>
      <w:r>
        <w:rPr>
          <w:b/>
        </w:rPr>
        <w:t>E. 4.2</w:t>
      </w:r>
    </w:p>
    <w:p>
      <w:r>
        <w:t>Unter Berücksichtigung der gesamten Umstände folgt, dass der Be­schwerdeführer keine Gründe nach Art. 3 AsylG nachweisen oder glaub­haft machen konnte. Es erübrigt sich, auf die summarischen Beschwerde­vorbringen detaillierter einzugehen. Die Vorinstanz hat die Flücht­lings­ei­gen­schaft zu Recht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Guinea lässt den Wegweisungsvollzug zum heutigen Zeitpunkt nicht als unzulässig erscheinen. Der Beschwerdeführer unterliegt als minderjährige Person den Normen der KRK. Art. 22 Abs. 2 KRK zielt darauf ab, durch Mitwirkung der Vertrags­staaten bei der Informationsbeschaffung die Fami­lien­zusam­men­füh­rung zu fördern. Diese Bestimmung beschlägt indes­sen nur minderjährige Asylsuchende und Flüchtlinge, nicht aber aus­ländische Kinder, deren Asylgesuch - wie vorliegend - abgewiesen wor­den ist. Somit besteht keine völkerrechtliche Verpflichtung, im Vorfeld des Vollzugs der Wegweisung einer im Asylverfahren abgewiesenen min­derjährigen Person Abklärungen über den Aufenthaltsort seiner Angehöri­gen vorzunehmen (EMARK 1998 Nr. 13 E. 5d.aa S. 95 f.). Das Kindes­wohl gemäss Art. 3 KRK muss jedoch im Rahmen der Zumutbarkeitsprü­fung von Art. 83 Abs. 4 AuG als gewichtiger Aspekt mitberücksichtigt wer­den (a.a.O., E. 5e.aa S. 98 f.).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Eine Situation, welche den Beschwerdeführer als "Gewalt oder de-facto-Flüchtling" qualifizieren würde, lässt sich aufgrund der heutigen Situa­tion in Guinea auch unter Berücksichtigung einer gewissen Instabili­tät und der erfolgten Unruhen nicht bejahen (vgl. Human Rights Watch, Country Summary Guinea vom Januar 2012).</w:t>
      </w:r>
    </w:p>
    <w:p>
      <w:r>
        <w:rPr>
          <w:b/>
        </w:rPr>
        <w:t>E. 6.4.2.1</w:t>
      </w:r>
    </w:p>
    <w:p>
      <w:r>
        <w:t>Der Wortlaut von Art. 83 Abs. 4 AuG bringt zum Ausdruck, dass aus humanitären Gründen, nicht in Erfüllung völkerrechtlicher Pflichten der Schweiz, auf den Vollzug der Wegweisung zu verzichten ist, wenn die Rückkehr in den Heimat- oder Herkunftsstaat für die betroffene Person eine konkrete Gefährdung bedeutet oder wenn andere Umstände vorlie­gen, die den Vollzug der Wegweisung als nicht zumutbar erscheinen las­sen. Die Bestimmung lässt mithin Raum, bei der Beurteilung der Zumutbar­keit des Wegweisungsvollzugs auch Überlegungen einfliessen zu lassen, die sich unter dem Aspekt des nach Art. 3 Abs. 1 KRK zu beach­ten­den Kindeswohls ergeben können. Der Minderjährigkeit kommt eine zentrale Bedeutung zu, da nach weiterhin gültiger Praxis (vgl. statt vieler beispielsweise Urteil des Bundesverwaltungsgerichts D-5238/2009 vom 1. Oktober 2009) im Falle von unbegleiteten Minderjährigen das Kindeswohl im Rahmen der Prü­fung der Zumutbarkeit des Wegweisungsvollzugs mitzuberücksichtigen ist, wo­raus sich gleichzeitig die Verpflichtung ergibt, von Amtes wegen die spezifisch mit der Minderjährigkeit verbundenen Aspekte des Wegweisungs­vollzugs abzuklären.</w:t>
      </w:r>
    </w:p>
    <w:p>
      <w:r>
        <w:rPr>
          <w:b/>
        </w:rPr>
        <w:t>E. 6.4.2.2</w:t>
      </w:r>
    </w:p>
    <w:p>
      <w:r>
        <w:t>Für die Asylbehörden ergibt sich daraus die Verpflichtung, abzuklä­ren, welche Situation sich für eine unbegleitete minderjährige Per­son im Fall einer Heimkehr realistischerweise ergeben könnte. In der Pra­xis ist deshalb nicht nur abzuklären, ob eine minderjährige Person im Fall der Rückkehr in den Heimat- oder Herkunftsstaat im Sinne von Art. 83 Abs. 4 AuG konkret gefährdet wäre, sondern auch, ob sie zu ihren Eltern oder anderen Angehörigen zurückgeführt werden kann und ob diese in der Lage wären, die Bedürfnisse der minderjährigen Person abzudecken. Können keine Angehörigen ausfindig gemacht werden oder ergibt sich, dass die Rückkehr zu diesen dem Kindeswohl nicht entspricht, ist weiter ab­zuklären, ob die minderjährige Person in der Heimat allenfalls in einer ge­eigneten Anstalt oder bei Drittpersonen untergebracht werden kann. Da­bei genügt es nicht, bloss festzustellen, dass im Heimat- oder Herkunfts­land Eltern oder andere Angehörige leben beziehungsweise dass es im betreffenden Land Einrichtungen gibt, die sich um alleinste­hende Kinder oder Jugendliche kümmern. Es ist vielmehr konkret abzuklä­ren, ob die betreffende minderjährige Person tatsächlich in ihr famili­äres Umfeld zurückgeführt werden beziehungsweise ob sie - sollte das nicht möglich sein oder nicht dem Kindeswohl entsprechen - anderwei­tig untergebracht werden kann (EMARK 2006 Nr. 24, EMARK 2003 Nr. 5, EMRK 1998 Nr. 13), welche Praxis vom Bundesverwaltungsge­richt weitergeführt wird (bspw. Urteile des Bundesverwal­tungsgerichts D-5238/2009 vom 1. Oktober 2009 und E-4429/2008 vom 1. September 2008). Das BFM hat daher im Hinblick auf die Anordnung des Vollzugs der Weg­weisung vorgängig geeignete Massnahmen zu treffen, damit die minderjäh­rige Person bei ihrer Rückkehr von ihren Angehörigen oder von ei­ner Behörde beziehungsweise einer Institution, die in der Lage ist, weiter­zuhelfen, in Empfang genommen wird (vgl. in diesem Sinn das Amt des Hohen Flüchtlingskommissars der Vereinten Nationen [UNHCR], Guide­lines on Policies and Procedures in Dealing with Unaccompanied Children Seeking Asylum, Genf, Februar 1997, S. 11, N 9.4), wo dies in An­betracht des Alters der betroffenen Person und damit in ihrem Inte­resse erforderlich erscheint. Demgegenüber können die Rückrei­semodalitä­ten (Begleitung der minderjährigen Person, Ort und Zeit der Übergabe nach der Ankunft im Heimatland etc.) erst im unmittelba­ren Vorfeld der Rückkehr geregelt werden (EMARK 1998 Nr. 13 E. 5e.bb S. 100). Es ist festzustellen, dass das BFM in der angefochtenen Verfügung unter Verweis auf seine Erkenntnisse betreffend [...] und [...] ausführte, für den Beschwerdeführer stünden dort ef­fektiv vorhandene Betreuungsmöglichkeiten zur Verfügung. Diese generel­len Erkenntnisse beruhen offenbar auf konkreten Abklärungen, aber in anderen Fällen (vgl. BVGE D-6558/2009 vom 14. Dezember 2009 E. 4.3.3.3). In seiner Ver­nehmlassung führte das Bundesamt des Weiteren aus, [...] im April 2011 anlässlich einer Dienstreise besucht zu ha­ben. Es sei festgestellt worden, dass es sich um eine seriöse Einrich­tung, die auch minderjährige Rückkehrer aus der Schweiz aufnehme, handle. Diese Erwägungen deuten zwar wie gesagt auf generelle Abklärungen vor Ort hin, vermögen aber den oben erwähnten, von der Praxis geforderten Ansprüchen an eine Einzelfallprüfung nicht zu genügen. So hat es das BFM den Akten zufolge unterlassen, in Bezug auf die Person des Be­schwerdeführers eine in Frage kommende Organisation konkret zu kontaktieren und so Gewähr für einen ihm tatsächlich offenstehenden Betreu­ungsplatz im Falle der Rückkehr nach Guinea zu erlangen.</w:t>
      </w:r>
    </w:p>
    <w:p>
      <w:r>
        <w:rPr>
          <w:b/>
        </w:rPr>
        <w:t>E. 7.1</w:t>
      </w:r>
    </w:p>
    <w:p>
      <w:r>
        <w:t>Das Bundesverwaltungsgericht kommt demnach zum Schluss, dass insbeson­dere eine Verletzung des rechtlichen Gehörs vorliegt. Im Rahmen der vom BFM erwogenen Zumutbarkeit des Wegweisungsvollzugs wurde der rechtserhebliche Sachverhalt ungenügend erstellt.</w:t>
      </w:r>
    </w:p>
    <w:p>
      <w:r>
        <w:rPr>
          <w:b/>
        </w:rPr>
        <w:t>E. 7.2</w:t>
      </w:r>
    </w:p>
    <w:p>
      <w:r>
        <w:t>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7.3</w:t>
      </w:r>
    </w:p>
    <w:p>
      <w:r>
        <w:t>Ein reformatorischer Entscheid respektive eine Heilung im Rahmen des Beschwerdeverfahrens erscheint vorliegend nicht angebracht, zumal es nicht Sinn und Zweck des Beschwerdeverfahrens ist, von der Vorin­stanz begangene Gehörsverletzungen zu heilen und damit verbun­den allenfalls Verfahrenshandlungen nachzuholen. Zudem würde bei ei­nem reformatorischen Entscheid dem Beschwerdeführer eine Instanz verlo­ren gehen. Ausserdem wird die fehlende Entscheidreife mutmasslich einen erheblichen Abklärungsaufwand mit sich bringen.</w:t>
      </w:r>
    </w:p>
    <w:p>
      <w:r>
        <w:rPr>
          <w:b/>
        </w:rPr>
        <w:t>E. 8</w:t>
      </w:r>
    </w:p>
    <w:p>
      <w:r>
        <w:t>Die Beschwerde ist demnach gutzuheissen, soweit sie den Vollzug der Weg­weisung betrifft; im Übrigen ist sie abzuweisen. Die Verfügung des BFM vom 10. Mai 2011 ist hinsichtlich der Ziffern 4 und 5 des Dis­posi­tivs aufzuheben und das BFM ist anzuweisen, namentlich im Hinblick auf die Zumutbarkeit des Wegweisungsvollzugs die geforderten konkreten Abklärungen vorzunehmen.</w:t>
      </w:r>
    </w:p>
    <w:p>
      <w:r>
        <w:rPr>
          <w:b/>
        </w:rPr>
        <w:t>E. 9.1</w:t>
      </w:r>
    </w:p>
    <w:p>
      <w:r>
        <w:t>Bei diesem Ausgang des Verfahrens sind die reduzierten Kosten grundsätzlich dem Beschwerdeführer aufzuerlegen (Art. 63 Abs. 1 VwVG). Gestützt auf Art. 63 Abs. 1 in fine VwVG ist indes von der Kosten­auflage abzusehen.</w:t>
      </w:r>
    </w:p>
    <w:p>
      <w:r>
        <w:rPr>
          <w:b/>
        </w:rPr>
        <w:t>E. 9.2</w:t>
      </w:r>
    </w:p>
    <w:p>
      <w:r>
        <w:t>Gemäss Art. 64 Abs. 1 VwVG kann die Beschwerdeinstanz der ob­sie­genden Partei eine Parteientschädigung für die notwendigen und ver­hält­nismässig hohen Kosten zusprechen. Dem vertretenen Be­schwerdefüh­rer wäre angesichts des teilweisen Obsiegens eine reduzier­te Parteient­schädi­gung zuzusprechen (Art. 7 Abs. 2 des Reg­lements vom 21. Feb­ruar 2008 über die Kosten und Entschädigun­gen vor dem Bundes­ver­wal­tungsgericht [VGKE, SR 173.320.2]). Nachdem die Beschwerde vom Beistand respektive der Vertrauensperson des Beschwerdeführers, die für ihre Tätigkeit bei der Begleitung von Minderjährigen im Asylverfahren vom zuständigen Kanton entschädigt wird, eingereicht wurde, sind keine solchen Kosten ersichtlich. Entsprechend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