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D-327/2014 vom 26. März 2014</w:t>
      </w:r>
    </w:p>
    <w:p>
      <w:r>
        <w:t>Bundesverwaltungsgericht, 2014-03-26, FR</w:t>
      </w:r>
    </w:p>
    <w:p>
      <w:r>
        <w:rPr>
          <w:b/>
        </w:rPr>
        <w:t xml:space="preserve">Quelle: </w:t>
      </w:r>
      <w:r>
        <w:t>https://mcp.opencaselaw.ch/entscheid/bvger_D-327_2014</w:t>
      </w:r>
    </w:p>
    <w:p>
      <w:r>
        <w:t>FR: TAF D-327/2014 du 26 mars 2014</w:t>
      </w:r>
    </w:p>
    <w:p>
      <w:r>
        <w:t>IT: TAF D-327/2014 del 26 marzo 2014</w:t>
      </w:r>
    </w:p>
    <w:p>
      <w:pPr>
        <w:pStyle w:val="Heading2"/>
      </w:pPr>
      <w:r>
        <w:t>Regeste</w:t>
      </w:r>
    </w:p>
    <w:p>
      <w:r>
        <w:t>Asile et renvoi</w:t>
      </w:r>
    </w:p>
    <w:p>
      <w:pPr>
        <w:pStyle w:val="Heading2"/>
      </w:pPr>
      <w:r>
        <w:t>Erwägungen</w:t>
      </w:r>
    </w:p>
    <w:p>
      <w:r>
        <w:rPr>
          <w:b/>
        </w:rPr>
        <w:t>E. 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l'ODM en matière d'asile (art. 33 let. d LTAF et 105 LAsi), qui n'entrent pas dans le champ d'exclusion de l'art. 32 LTAF. Le Tribunal est ainsi compétent pour se prononcer sur le présent recours. Il statue de manière définitive, sauf demande d'extradition déposée par l'Etat dont le requérant cherche à se protéger (art. 83 let. d ch. 1 de la loi du 17 juin 2005 sur le Tribunal fédéral [LTF, RS 173.110]), exception non donnée in casu, La procédure est régie par la PA, sous réserve de dispositions particulières de la LTAF ou de la LAsi (art. 37 LTAF, resp. 6 LAsi), L'intéressé a qualité pour recourir. Présenté dans la forme et le délai prescrits par la loi, son recours est recevable (art. 48 et 52 PA, resp. 108 al. 1 LAsi). A teneur de l'art. 106 al.1 LAsi, les motifs de recours invocables devant le Tribunal sont la violation du droit fédéral, notamment l'abus ou excès dans l'exercice du pouvoir d'appréciation (let. a), ainsi que l'établissement inexact ou incomplet de l'état de fait pertinent (let. b). Dans la procédure de recours, la langue est celle de la décision attaquée (art. 33a al. 2 PA), en l'occurrence le français.</w:t>
      </w:r>
    </w:p>
    <w:p>
      <w:r>
        <w:rPr>
          <w:b/>
        </w:rPr>
        <w:t>E. 2.1</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Le but de l'asile n'est pas d'accorder une protection à toutes les victimes d'une injustice, mais uniquement aux personnes qui ont été soumises à une atteinte à leur liberté ou à leur intégrité physique d'une certaine intensité.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Des coups légers et uniques ainsi que de légères brûlures corporelles ne suffisent pas non plus (sur l'ensemble de ces questions, voir p. ex. l'arrêt du Tribunal D-6840/2009 du 1er octobre 2012, consid. 2.1.1 et réf. cit.).</w:t>
      </w:r>
    </w:p>
    <w:p>
      <w:r>
        <w:rPr>
          <w:b/>
        </w:rPr>
        <w:t>E. 2.3</w:t>
      </w:r>
    </w:p>
    <w:p>
      <w:r>
        <w:t>Aux termes de l'art. 3 al. 3 LAsi, entré en vigueur le 29 septembre 2012,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Cette disposition est applicable aux décisions de l'ODM rendues à partir du 29 septembre 2012 (cf. ATAF 2013/20 consid. 3.2.1-3.2.4 p. 251-252). Dans sa jurisprudence (cf. JICRA 2006 no 3 consid. 4.2, JICRA 2004 no 2 b/aa, et JICRA 2001 no 15 consid. 8d/da et réf. cit.), relative à l'art. 3 LAsi (dans sa teneur antérieure au 29 septembre 2012 ; cf. supra), l'ancienne Commission suisse de recours en matière d'asile (ci-après, la Commission) avait précisé qu'une peine sanctionnant le refus de servir ou la désertion était, en règle générale, légitime et étrangère à l'asile. Toujours selon la Commission, une éventuelle sanction pour insoumission ou désertion ne constituait une persécution déterminante pour la reconnaissance de la qualité de réfugié que si, pour un des motifs énoncés à l'art. 3 LAsi, la personne concernée était punie plus sévèrement que ne le serait une autre dans la même situation (malus), ou que la peine infligée était d'une sévérité disproportionnée ou, encore, que l'accomplissement du service militaire exposait cette personne à des préjudices relevant de la disposition précitée ou impliquait sa participation à des actions prohibées par le droit international.</w:t>
      </w:r>
    </w:p>
    <w:p>
      <w:r>
        <w:rPr>
          <w:b/>
        </w:rPr>
        <w:t>E. 2.4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w:t>
      </w:r>
    </w:p>
    <w:p>
      <w:r>
        <w:rPr>
          <w:b/>
        </w:rPr>
        <w:t>E. 3.1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3.2.3</w:t>
      </w:r>
    </w:p>
    <w:p>
      <w:r>
        <w:t>Selon la jurisprudence de la Commission (cf. JICRA 1993 n° 3 p. 11ss et JICRA 2005 n° 7 consid. 6.2.1 p. 66), qui est toujours d'actualité (cf. p. ex. ATAF-2009/51 consid. 4.2.3 p. 743), le caractère tardif d'éléments tus lors de l'audition au CEP, mais invoqués plus tard en audition sur les motifs d'asile, peut être retenu pour mettre en doute la vraisemblance des motifs d'asile allégués. Ces principes sont a fortiori applicables par analogie en cas d'invocation, au stade du recours seulement, de motifs d'asile passés sous silence en procédure de première instance (cf. infra).</w:t>
      </w:r>
    </w:p>
    <w:p>
      <w:r>
        <w:rPr>
          <w:b/>
        </w:rPr>
        <w:t>E. 4.1</w:t>
      </w:r>
    </w:p>
    <w:p>
      <w:r>
        <w:t>Lors de son audition sur les motifs d'asile du 1er septembre 2010 (cf. pv p. 4, rép. à la quest. no 29), A._______ a explicitement nié avoir été membre du PKK. Pour cette raison-là déjà, son adhésion à ce mouvement, telle qu'alléguée au stade du recours, n'est pas crédible (cf. consid. 3.2.3 supra). L'intéressé a en outre affirmé avoir habité dans son village natal de B._______ jusqu'à son départ et s'être rendu souvent à E._______, ainsi qu'à F._______ (cf. pv d'audition du 1er septembre 2010, p. 2 s., rép. aux quest. no 10 à 12). Il n'a en revanche jamais indiqué avoir vécu ou même visité la province de (...), désignée comme son domicile dans la note du procureur D._______ du (...) 2010 (cf. let. D supra). L'obtention par A._______ de son passeport et de sa carte d'identité turcs au mois de (...) 2010 ne peut au demeurant que renforcer les doutes planant sur les recherches censées avoir été menées contre lui en raison de ses activités alléguées pour le PKK (cf. note précitée et mémoire du 20 janvier 2014, p. 4, ch. 12). Le recourant n'a du reste pas expliqué comment ladite note à usage purement interne a pu lui être transmise. Dès lors, force est de conclure que ce document a été produit pour les besoins de la cause. L'intéressé n'a, enfin, apporté aucun élément établissant ou rendant vraisemblable que le C._______, association à but culturel active dans le canton de Soleure, entretient un quelconque lien avec le PKK. Dans ces conditions, le Tribunal estime que l'adhésion prétendue de A._______ à ce mouvement invoquée au stade du recours n'est pas hautement probable au sens de l'art. 7 LAsi (cf. consid. 3 supra).</w:t>
      </w:r>
    </w:p>
    <w:p>
      <w:r>
        <w:rPr>
          <w:b/>
        </w:rPr>
        <w:t>E. 4.2</w:t>
      </w:r>
    </w:p>
    <w:p>
      <w:r>
        <w:t>L'engagement politique allégué du prénommé pour le BDP, parti représenté au parlement turc, lui a par ailleurs uniquement valu deux brèves gardes à vue de trois à quatre heures chacune (cf. let. A supra) qui ne représentent pas une atteinte à la liberté d'une intensité suffisante pour constituer un sérieux préjudice au sens de l'art. 3 LAsi (cf. consid. 2.2 supra). L'intéressé n'a par ailleurs exercé aucune fonction dirigeante au sein du BDP. Il a même cessé de manifester pour ce mouvement à la fin de l'année 2009 (cf. pv d'audition sommaire, p. 6 : "Wann haben Sie das letzte Mal an einer solchen Kundgebung teilgenommen ? Etwa im (...) 2009.") et n'a plus été inquiété par les autorités turques après 2009, notamment sur le plan judiciaire (cf. pv d'audition du 1er septembre 2010, p. 6, rép. à la quest. no 50). Il a de surcroît pu obtenir sans difficulté apparente son passeport ainsi que sa carte d'identité au mois de (...) 2010 (cf. consid. 4.1 supra), (...) mois seulement avant son entrée programmée sous les drapeaux.</w:t>
      </w:r>
    </w:p>
    <w:p>
      <w:r>
        <w:rPr>
          <w:b/>
        </w:rPr>
        <w:t>E. 4.3</w:t>
      </w:r>
    </w:p>
    <w:p>
      <w:r>
        <w:t>L'appartenance de l'intéressé à la communauté alévi ne saurait davantage justifier une crainte fondée de persécution sous l'angle de l'art. 3 LAsi (cf. consid. 2.4 supra). Dite communauté, concentrée dans le centre et l'est de la Turquie, est certes l'objet de tracasseries, sa foi n'étant pas reconnue par les autorités turques ; elle ne peut ouvrir d'établissements d'enseignement, et se trouve occasionnellement exposée à l'animosité de la population (cf. US State Department, International Religious Freedom Report for 2012, Washington 2013 ; Information sur le traitement que réservent la société et les autorités gouvernementales aux alévis, les mesures prises par l'Etat en cas de mauvais traitements [2008-mai 2012], Commission de l'immigration et du statut de réfugié du Canada, 1er juin 2012). Toutefois, son effectif important (15 à 25% de la population turque) exclut, en pratique, que ses membres soient exposés, en tant que tels, à la persécution. La dernière agression mortelle contre des Alévis, qui avait entraîné le décès de 37 personnes, remonte à 1993, lors d'une émeute survenue à Sivas.</w:t>
      </w:r>
    </w:p>
    <w:p>
      <w:r>
        <w:rPr>
          <w:b/>
        </w:rPr>
        <w:t>E. 4.4</w:t>
      </w:r>
    </w:p>
    <w:p>
      <w:r>
        <w:t>S'agissant enfin d'une éventuelle sanction pour désertion ou refus de servir susceptible d'être prononcée contre A._______, le Tribunal constate que celui-ci n'a déposé aucune preuve de sa convocation par l'autorité militaire qui aurait dû parvenir à son domicile après son expatriation (cf. pv d'audition du 1er septembre 2010, p. 6, rép. à la quest. no 53). En tout état de cause, il convient de rappeler que le prénommé n'est pas tenu pour un activiste politique dangereux et qu'il n'a jamais été condamné (cf. consid. 4.1 et 4.2 supra). Il n'est en conséquence pas hautement probable (cf. consid. 3 supra) que le recourant se voie infliger une sanction assimilable à une persécution sous l'angle de la Conv. réfugiés (cf. consid. 2.3 supra, 1er parag.) pour s'être prétendument soustrait à ses obligations militaires, même à admettre que les critères jurisprudentiels en la matière exposés ci-dessus (cf. consid. précité, 2ème parag.) soient toujours applicables, question pouvant demeurer ici indécise. Les peines infligées aux réfractaires sont d'ailleurs souvent converties en amendes en Turquie (cf. Informations sur le service militaire obligatoire, Commission de l'immigration et du statut de réfugié du Canada, 21 mai 2010). En cas d'incorporation sous les drapeaux, l'intéressé ne risque en outre pas d'être contraint à affronter les guérilléros séparatistes kurdes actifs dans l'est de la Turquie car ceux-ci sont aujourd'hui combattus par des soldats de métier, spécialement entraînés pour cette mission (cf. arrêt du Tribunal E-5054/2013 du 19 novembre 2013 consid. 3.4).</w:t>
      </w:r>
    </w:p>
    <w:p>
      <w:r>
        <w:rPr>
          <w:b/>
        </w:rPr>
        <w:t>E. 4.5</w:t>
      </w:r>
    </w:p>
    <w:p>
      <w:r>
        <w:t>L'ODM ainsi a considéré à bon droit que les motifs d'asile invoqués ne satisfaisaient ni aux exigences de haute probabilité posées par l'art. 7 LAsi ni aux conditions mises à la reconnaissance de la qualité de réfugié au sens de l'art. 3 LAsi ou d'un risque de persécution selon la Conv. réfugiés. La décision entreprise, en ce qu'elle dénie cette qualité à A._______ et lui refuse l'asile, doit dès lors être confirmée et le recours rejeté sur ces deux points. Aussi, convient-il désormais de vérifier si le renvoi du prénommé et l'exécution de cette mesure sont conformes à la loi.</w:t>
      </w:r>
    </w:p>
    <w:p>
      <w:r>
        <w:rPr>
          <w:b/>
        </w:rPr>
        <w:t>E. 5</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réalisée en l'espèce, le Tribunal est tenu, de par la loi, de confirmer cette mesure.</w:t>
      </w:r>
    </w:p>
    <w:p>
      <w:r>
        <w:rPr>
          <w:b/>
        </w:rPr>
        <w:t>E. 6</w:t>
      </w:r>
    </w:p>
    <w:p>
      <w:r>
        <w:t>En vertu de l'art. 44 LAsi, l'ODM règle les conditions de résidence du requérant conformément aux dispositions de la loi fédérale sur les étrangers du 16 décembre 2005 (LEtr, RS 142.20) si l'exécution du renvoi est illicite, ne peut être raisonnablement exigée ou n'est pas possible. En matière d'asile, le requérant se prévalant d'obstacles à l'exécution du renvoi doit les établir ou, à tout le moins, les rendre hautement probables lorsque la preuve au sens strict n'est pas raisonnablement exigible au vu de l'ensemble des circonstances du cas d'espèce (voir à ce propos ATAF 2011/24 consid. 10.2 et réf. citée).</w:t>
      </w:r>
    </w:p>
    <w:p>
      <w:r>
        <w:rPr>
          <w:b/>
        </w:rPr>
        <w:t>E. 7</w:t>
      </w:r>
    </w:p>
    <w:p>
      <w:r>
        <w:t>La mesure précitée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Concernant plus particulièrement le degré de la preuve de traitements contraires à la Convention en cas d'exécution du renvoi, la Cour européenne des droits de l'homme (ci-après, la Cour) souligne que la personne invoquant l'art. 3 CEDH doit démontrer à satisfaction qu'il existe pour elle un véritable risque concret et sérieux d'être victime de tortures, ou de traitements inhumains ou dégradants en cas de renvoi dans son pays. La Cour considère notamment qu'une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jurisprudence citée de la Cour). Au regard de l'argumentation retenue aux considérant 4 ci-dessus pour refuser la qualité de réfugié et l'asile à l'intéressé, rien ne permet de penser qu'un retour de ce dernier en Turquie lui ferait courir un risque concret et sérieux (cf. supra) de persécutions ou d'autres traitements contraires aux engagements internationaux contractés par la Suisse. Aussi, l'exécution du renvoi s'avère-t-elle licite.</w:t>
      </w:r>
    </w:p>
    <w:p>
      <w:r>
        <w:rPr>
          <w:b/>
        </w:rPr>
        <w:t>E. 8</w:t>
      </w:r>
    </w:p>
    <w:p>
      <w:r>
        <w:t>Aux termes de l'art. 83 al. 4 LEtr, dite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dont le retour les mettrait concrètement en danger, notamment parce qu'au regard des circonstances d'espèce, ils seraient, selon toute probabilité, conduites irrémédiablement à un dénuement complet, exposées à la famine, et ainsi à une dégradation grave de leur état de santé, à l'invalidité, voire à la mort (cf. ATAF 2011/50 consid. 8.2 p. 1002 s. et réf. cit.).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(cf. ATAF 2010/41 consid. 8.3.6 p. 591 et arrêts cités). Le Tribunal rappelle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précité consid. 8.3.5 p. 590). En l'occurrence, le recourant, âgé de moins de (...) ans, retrouvera ses parents et son frère restés en Turquie (voir p. ex. pv d'audition sommaire, p. 3, ch. 12) et pourra bénéficier, dans une certaine mesure, de l'appui du réseau social constitué avant son départ. L'intéressé n'a par ailleurs invoqué aucun problème de santé (voir à ce propos ATAF 2011/50 consid. 8.3 p. 1003 s. et réf. cit.) susceptible de faire obstacle à son retour en Turquie, pays qui n'est actuellement pas en proie à une situation de guerre, de guerre civile, ou de violence généralisée. Dès lors, l'exécution du renvoi de A._______ dans cet Etat doit être considérée comme raisonnablement exigible au sens de l'art. 83 al. 4 LEtr.</w:t>
      </w:r>
    </w:p>
    <w:p>
      <w:r>
        <w:rPr>
          <w:b/>
        </w:rPr>
        <w:t>E. 9</w:t>
      </w:r>
    </w:p>
    <w:p>
      <w:r>
        <w:t>La mesure précitée est en outre possible (cf. art. 83 al. 2 LEtr et ATAF 2008/34 consid. 12 p. 513-515 et jurisp. cit.), le recourant étant tenu de collaborer à l'obtention de documents de voyage idoines lui permettant de regagner son pays d'origine.</w:t>
      </w:r>
    </w:p>
    <w:p>
      <w:r>
        <w:rPr>
          <w:b/>
        </w:rPr>
        <w:t>E. 10</w:t>
      </w:r>
    </w:p>
    <w:p>
      <w:r>
        <w:t>Le chef de conclusion tendant à l'obtention de la protection provisoire est pour le surplus rejeté, en l'absence d'une telle décision de principe par le Conseil fédéral (art. 66 LAsi).</w:t>
      </w:r>
    </w:p>
    <w:p>
      <w:r>
        <w:rPr>
          <w:b/>
        </w:rPr>
        <w:t>E. 11</w:t>
      </w:r>
    </w:p>
    <w:p>
      <w:r>
        <w:t>Dans ces conditions, c'est à juste titre que l'ODM a ordonné le renvoi de A._______ et prononcé l'exécution de cette mesure, de sorte que sur ces deux questions également, la décision querellée doit être confirmée.</w:t>
      </w:r>
    </w:p>
    <w:p>
      <w:r>
        <w:rPr>
          <w:b/>
        </w:rPr>
        <w:t>E. 12</w:t>
      </w:r>
    </w:p>
    <w:p>
      <w:r>
        <w:t>Vu ce qui précède, le recours est intégralement rejeté, sans échange d'écritures (art. 111a al. 1 LAsi).</w:t>
      </w:r>
    </w:p>
    <w:p>
      <w:r>
        <w:rPr>
          <w:b/>
        </w:rPr>
        <w:t>E. 13</w:t>
      </w:r>
    </w:p>
    <w:p>
      <w:r>
        <w:t>Ayant succombé, l'intéressé doit prendre les frais judiciaires à sa charge, en application de l'art. 63 al. 1 PA ainsi que des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