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D-3277/2015 vom 26. August 2015</w:t>
      </w:r>
    </w:p>
    <w:p>
      <w:r>
        <w:t>Bundesverwaltungsgericht, 2015-08-26, DE</w:t>
      </w:r>
    </w:p>
    <w:p>
      <w:r>
        <w:rPr>
          <w:b/>
        </w:rPr>
        <w:t xml:space="preserve">Quelle: </w:t>
      </w:r>
      <w:r>
        <w:t>https://mcp.opencaselaw.ch/entscheid/bvger_D-3277_2015</w:t>
      </w:r>
    </w:p>
    <w:p>
      <w:r>
        <w:t>FR: TAF D-3277/2015 du 26 août 2015</w:t>
      </w:r>
    </w:p>
    <w:p>
      <w:r>
        <w:t>IT: TAF D-3277/2015 del 26 agosto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2 AsylG und Art. 52 Abs. 1 VwVG) ist einzutreten.</w:t>
      </w:r>
    </w:p>
    <w:p>
      <w:r>
        <w:rPr>
          <w:b/>
        </w:rPr>
        <w:t>E. 2</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3</w:t>
      </w:r>
    </w:p>
    <w:p>
      <w:r>
        <w:t>Vorliegend liegt die grundsätzliche staatsvertragliche Zuständigkeit Ungarns für die Durchführung des Asyl- und Wegweisungsverfahrens ausser Frage vor (vgl. vorstehend Sachverhalt Bst. C). Streitig ist hingegen, ob allenfalls Gründe dafür bestehen, dass die Schweiz den Selbsteintritt gemäss Art. 17 Abs. 1 Dublin-III-VO (Souveränitätsklausel) erklären sollte.</w:t>
      </w:r>
    </w:p>
    <w:p>
      <w:r>
        <w:rPr>
          <w:b/>
        </w:rPr>
        <w:t>E. 4.1</w:t>
      </w:r>
    </w:p>
    <w:p>
      <w:r>
        <w:t>Die Vorinstanz zeigt in der angefochtenen Verfügung auf, wie sich die Rechtslage von Dublin-Rückkehrern und deren Ansprüche im Asylverfahren in Ungarn darstelle, weshalb von einem Selbsteintritt abgesehen und die Überstellung der Beschwerdeführenden nach Ungarn als zumutbar betrachtet werde.</w:t>
      </w:r>
    </w:p>
    <w:p>
      <w:r>
        <w:rPr>
          <w:b/>
        </w:rPr>
        <w:t>E. 4.2</w:t>
      </w:r>
    </w:p>
    <w:p>
      <w:r>
        <w:t>Die Beschwerdeführenden bringen im Wesentlichen vor, die Vorin-stanz habe es versäumt, eine sorgfältige Einzelfallprüfung hinsichtlich des Selbsteintrittsrechts durchzuführen, zumal es sich bei ihnen als Familie um besonders verletzliche Personen handle und die Beschwerdeführerin zudem schwanger sei.</w:t>
      </w:r>
    </w:p>
    <w:p>
      <w:r>
        <w:rPr>
          <w:b/>
        </w:rPr>
        <w:t>E. 5.1</w:t>
      </w:r>
    </w:p>
    <w:p>
      <w:r>
        <w:t>Gemäss Art. 17 Abs. 1 Dublin-III-VO kann jeder Mitgliedstaat einen von einem Drittstaatsangehörigen eingereichten Asylantrag prüfen, auch wenn er nach den in dieser Verordnung festgelegten Kriterien nicht für die Prüfung zuständig ist. Der betreffende Mitgliedstaat wird dadurch zum zuständigen Mitgliedstaat im Sinne dieser Verordnung und übernimmt die mit dieser Zuständigkeit einhergehenden Verpflichtungen. Gegebenenfalls unterrichtet er den zuvor zuständigen Mitgliedstaat, den Mitgliedstaat, der ein Verfahren zur Bestimmung des zuständigen Staates durchführt, oder den Mitgliedsstaat, an den ein Aufnahme- oder Wiederaufnahmegesuch gerichtet wurde (sog. Selbsteintrittsrecht bzw. Souveränitätsklausel).</w:t>
      </w:r>
    </w:p>
    <w:p>
      <w:r>
        <w:rPr>
          <w:b/>
        </w:rPr>
        <w:t>E. 5.2</w:t>
      </w:r>
    </w:p>
    <w:p>
      <w:r>
        <w:t>Asylsuchende können gemäss der Praxis des Bundesverwaltungsgerichts zwar unmittelbar aus der Souveränitätsklausel keine rechtlich durchsetzbaren Ansprüche ableiten (vgl. BVGE 2010/45), sie können sich aber in einem Beschwerdeverfahren auf die Verletzung einer direkt anwendbaren Bestimmung des internationalen öffentlichen Rechts oder einer Norm des Landesrechts - insbesondere Art. 29a Abs. 3 AsylV 1 -, welche einer Überstellung entgegenstehen, berufen. Ist die Rüge begründet, muss die Souveränitätsklausel angewendet werden und die Schweiz muss sich zur Prüfung des Asylgesuchs zuständig erklären (vgl. BVGE 2010/45 E. 5).</w:t>
      </w:r>
    </w:p>
    <w:p>
      <w:r>
        <w:rPr>
          <w:b/>
        </w:rPr>
        <w:t>E. 5.3</w:t>
      </w:r>
    </w:p>
    <w:p>
      <w:r>
        <w:t>Das Bundesverwaltungsgericht hat in seinem Urteil E-2093/2012 vom 9. Oktober 2013 die Widerlegbarkeit der grundsätzlichen Vermutung, dass die Dublin-Mitgliedstaaten ihren völkerrechtlichen Pflichten sowie ihren Pflichten aus der Aufnahme- und Verfahrensrichtlinie nachkommen würden (vgl. E-2093/2012 E. 4.2), bekräftigt (vgl. BVGE 2012/27, 2011/35 und 2010/45). Es hat mit Blick auf die vergangene und die derzeit herrschende Situation von Asylsuchenden in Ungarn das Vorhandensein systematischer Mängel verneint, jedoch kam es analog der Rechtsprechung zu Malta im Dublin-Kontext (BVGE 2012/27 E. 7.4) zum Schluss, dass sich die Vermutung, Ungarn beachte die den betroffenen Personen im Gemeinsamen Europäischen Asylsystem zustehenden Grundrechte in angemessener Weise, nicht ohne weiteres mehr aufrechterhalten lasse (vgl. E-2093/2012 E. 9.1 und 9.2). Die im Rahmen eines Dublin-Verfahrens nach Ungarn überstellten Personen würden zwar nicht generell verhaftet, und es müsse auch nicht davon ausgegangen werden, sie hätten im Allgemeinen keinen Zugang zu einem ordnungsgemässen Asylverfahren, jedoch müsse von Amtes wegen im Einzelfall geprüft werden, ob eine Überstellung dorthin zulässig sei, wobei der Zurechenbarkeit der Beschwerdeführenden zu einer besonders verletzlichen Personengruppe Rechnung zu tragen sei (E-2093/2012 E. 9 ff.).</w:t>
      </w:r>
    </w:p>
    <w:p>
      <w:r>
        <w:rPr>
          <w:b/>
        </w:rPr>
        <w:t>E. 5.4</w:t>
      </w:r>
    </w:p>
    <w:p>
      <w:r>
        <w:t>Die Vorinstanz legt in ihrer Begründung bezüglich der Anwendbarkeit des Selbsteintrittsrechts zwar die Rechtslage bezüglich Dublin-Rückkehrern in Ungarn respektive deren Ansprüche im Asylverfahren dar, versäumt es in ihrer Begründung jedoch, in genügender Weise auf den konkreten Einzelfall der Familie und insbesondere der hochrisikoschwangeren Beschwerdeführerin einzugehen. Zwar bestreitet die Vorinstanz eine gewisse Vulnerabilität der Beschwerdeführenden nicht, begnügt sich jedoch mit dem allgemeinen Verweis auf den Umstand, sie hätten in Ungarn als Familie Anspruch auf Unterbringung in einem Familienzimmer auf einem separaten Stockwerk. Damit legt sie wiederum die allgemeine Lage dar, nimmt jedoch keine einzelfallgerechte Prüfung vor, welche insbesondere bei besonders verletzlichen Personengruppen angezeigt wäre (vgl. E. 5.3). Schliesslich hält die Vorinstanz pauschal fest, die medizinische Grundversorgung sei gewährleistet und die Beschwerdeführenden könnten sich notfalls an die ungarischen Behörden wenden, sollte ihnen diese verweigert werden. Damit verkennt sie die aktenkundige gesundheitliche Situation der Beschwerdeführerin als Hochrisikoschwangere, die einer engmaschigen Betreuung bedarf und die jederzeit auf medizinische Hilfe angewiesen ist, um eine allfällige Gefahr für sich und ihr ungeborenes Kind bestmöglich abzuwenden (vgl. Arztbericht der Frauenklinik des Kantonsspitals Olten vom 3. Juni 2015). Dass sie sich im Falle eines möglichen Notfalls nicht vorgängig an die ungarischen Behörden wird wenden können, um allfällig verweigerte bzw. nicht sichergestellte Rechte einzufordern, ist in Anbetracht der Dringlichkeit, die solchen Situationen immanent ist, offensichtlich. Ob sie in Ungarn bei einem Notfall die benötigte Hilfe erhalten würde, ist nicht erstellt. Durch die Darlegung der allgemeinen Rechtslage in Ungarn und der den Dublin-Rückkehrern dort zustehenden Ansprüche, ohne in ausführlicherer Weise auf den Einzelfall der Beschwerdeführenden einzugehen, hat die Vorinstanz die Begründungspflicht gemäss Art. 35 Abs. 1 VwVG und somit Bundesrecht verletzt. Unter dem Aspekt des Beschleunigungsgebots und in Anbetracht der langen Verfahrensdauer des vorliegenden Dublin-Verfahrens rechtfertigt es sich, die Vorinstanz anzuweisen, das nationale Asylverfahren aufzunehmen. Hinzu kommt, dass sich der Vollzug der Wegweisung aufgrund der nicht bestehenden Reisefähigkeit und dem voraussichtlich vorzunehmenden Kaiserschnitt Mitte bzw. Ende September 2015 einstweilen als nicht durchführbar bzw. nicht zumutbar erweist. Da die Fragen der Zulässigkeit, Zumutbarkeit und Möglichkeit des Wegweisungsvollzugs in Verfahren nach Art. 31a Abs. 1 Bst. b AsylG Voraussetzung (und nicht Regelfolge) eines Nichteintretensentscheides bilden (vgl. BVGE 2010/45 E 10.2), hätte die Vorinstanz auch aus diesem Grund auf die Asylgesuche der Beschwerdeführenden eintreten müssen.</w:t>
      </w:r>
    </w:p>
    <w:p>
      <w:r>
        <w:rPr>
          <w:b/>
        </w:rPr>
        <w:t>E. 6</w:t>
      </w:r>
    </w:p>
    <w:p>
      <w:r>
        <w:t>Die Beschwerde ist nach dem Gesagten gutzuheissen und die Vorinstanz anzuweisen, auf die Asylgesuche der Beschwerdeführenden einzutreten und das nationale Asylverfahren aufzunehmen.</w:t>
      </w:r>
    </w:p>
    <w:p>
      <w:r>
        <w:rPr>
          <w:b/>
        </w:rPr>
        <w:t>E. 7</w:t>
      </w:r>
    </w:p>
    <w:p>
      <w:r>
        <w:t>Bei diesem Ausgang des Verfahrens sind keine Kosten aufzuerlegen (vgl. Art. 63 Abs. 1 und 2 VwVG). Da den im vorliegenden Verfahren nicht vertretenen Beschwerdeführenden keine notwendigen und verhältnismässig hohen Kosten entstanden sind, ist keine Parteientschädigung auszurichten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