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D-3275/2022 vom 7. Juli 2022</w:t>
      </w:r>
    </w:p>
    <w:p>
      <w:r>
        <w:t>Bundesverwaltungsgericht, 2022-07-07, DE</w:t>
      </w:r>
    </w:p>
    <w:p>
      <w:r>
        <w:rPr>
          <w:b/>
        </w:rPr>
        <w:t xml:space="preserve">Quelle: </w:t>
      </w:r>
      <w:r>
        <w:t>https://mcp.opencaselaw.ch/entscheid/bvger_D-3275_2022_d20220707</w:t>
      </w:r>
    </w:p>
    <w:p>
      <w:r>
        <w:t>FR: TAF D-3275/2022 du 7 juillet 2022</w:t>
      </w:r>
    </w:p>
    <w:p>
      <w:r>
        <w:t>IT: TAF D-3275/2022 del 7 luglio 2022</w:t>
      </w:r>
    </w:p>
    <w:p>
      <w:pPr>
        <w:pStyle w:val="Heading2"/>
      </w:pPr>
      <w:r>
        <w:t>Regeste</w:t>
      </w:r>
    </w:p>
    <w:p>
      <w:r>
        <w:t>Vollzug der Wegweisung (beschleunigtes Verfahren) | Vollzug der Wegweisung (beschleunigtes Verfahren); Verfügung des SEM vom 7. Juli 2022</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VwVG). Auf die Be- schwerde ist einzutreten.</w:t>
      </w:r>
    </w:p>
    <w:p>
      <w:r>
        <w:rPr>
          <w:b/>
        </w:rPr>
        <w:t>E. 2</w:t>
      </w:r>
    </w:p>
    <w:p>
      <w:r>
        <w:t>Vorliegend ergibt sich aufgrund der Anträge und der Begründung, dass ausschliesslich der Wegweisungsvollzug angefochten wurde, weshalb nur dieser Verfahrensgegenstand bildet, mithin die angefochtene Verfügung bezüglich den Dispositiv-Ziffern 1-3 (Flüchtlingseigenschaft, Asyl und Weg- weisung) in Rechtskraft erwachsen sind.</w:t>
      </w:r>
    </w:p>
    <w:p>
      <w:r>
        <w:rPr>
          <w:b/>
        </w:rPr>
        <w:t>E. 3</w:t>
      </w:r>
    </w:p>
    <w:p>
      <w:r>
        <w:t>Die Kognition des Bundesverwaltungsgerichts und die zulässigen Rügen richten sich im Bereich des Ausländerrechts nach Art. 49 VwVG (vgl. BVGE 2014/26 E. 5).</w:t>
      </w:r>
    </w:p>
    <w:p>
      <w:r>
        <w:t>D-3275/2022 Seite 9</w:t>
      </w:r>
    </w:p>
    <w:p>
      <w:r>
        <w:rPr>
          <w:b/>
        </w:rPr>
        <w:t>E. 4.1</w:t>
      </w:r>
    </w:p>
    <w:p>
      <w:r>
        <w:t>Von der Beschwerdeführerin wird im Sinne eines Eventualantrages die Aufhebung der angefochtenen Verfügung und Rückweisung der Sache an die Vorinstanz beantragt. Dabei machte sie erschwerte Verhältnisse – die Anhörung habe nicht in ihrer Muttersprache, sondern auf Englisch stattge- funden und wiederholt sei Baulärm hörbar gewesen – geltend. Das SEM habe zwar die Dolmetscherin und die Beschwerdeführerin angewiesen, sich bei Unklarheiten wegen des Baulärms zu melden. Ebenfalls seien mehrere Fragen, die sie auf Englisch nicht verstanden habe, von der Dol- metscherin wiederholt worden, wobei in solchen Situationen oft unklar sei, ob etwas falsch verstanden worden sei. Ein Wiederholen einer Frage könne allfällige Verständigungsprobleme nicht ausmerzen. Sie spreche zwar zweifellos gut Englisch, gewisse Feinheiten würde sich aber nicht auf muttersprachlichem Niveau befinden. Gesamthaft würden die Hindernisse anlässlich der Anhörung (eine PTBS, Kopfschmerzen, der Baulärm und die Befragung auf Englisch) eine Linse darstellen, durch die ihre Vorbringen und Schilderungen zu betrachten seien und die Einfluss auf ihr Aussage- verhalten hätten.</w:t>
      </w:r>
    </w:p>
    <w:p>
      <w:r>
        <w:rPr>
          <w:b/>
        </w:rPr>
        <w:t>E. 4.2</w:t>
      </w:r>
    </w:p>
    <w:p>
      <w:r>
        <w:t>Diesbezüglich ist festzuhalten, dass die Beschwerdeführerin ihre Vor- bringen – deren Glaubhaftigkeit im Grundsatz vom SEM auch nicht bezwei- felt wurden (ausser ihrer Ausführungen zur Beziehung zur Mutter) – genü- gend darlegen konnte. Zwar sind die Umstände der Anhörung – der Bau- lärm sowie die Befragung auf Englisch – vorliegend nicht als ideal zu be- zeichnen; sie haben das Erstellen des Sachverhalts jedoch nicht verun- möglicht. Vielmehr ist aufgrund des Anhörungsprotokolls davon auszuge- hen, dass die Befragung unter Umständen stattgefunden hat, die ein offe- nes Gespräch ermöglichten und sie ihre Vorbringen frei und unbeeinträch- tigt von Schamgefühlen schildern konnte (vgl. BVGE 2015/42 E. 5.3); sie wurde gemäss Art. 6 AsylV 1 (SR 142.311) von einem Frauenteam befragt. Gemäss den Akten konnte sich die Beschwerdeführerin genügend auf Englisch verständigen. Selbst wenn eine Anhörung auf Herero ihr erlaubt hätte, sich besser und wohl detaillierter auszudrücken, konnte sie ihre ge- samten Asylvorbringen doch in nachvollziehbarer Weise schildern, wobei ihr vom SEM auch nicht vorgeworfen wurde, sie habe die Ereignisse un- substantiiert geschildert. Zudem hat sie auch auf dem Personalienblatt ex- plizit Englisch als mögliche weitere Sprache, in der sie befragt werden könne, angegeben. Auch die Dolmetscherin hat sie – zwar mitunter nach Wiederholungen – verstanden. Schliesslich hat das SEM die Anhörungs- umstände genügend berücksichtigt, indem es ihre Vorbringen und Schilde- rungen nicht grundsätzlich in Frage stellte. In Anbetracht dieser Umstände</w:t>
      </w:r>
    </w:p>
    <w:p>
      <w:r>
        <w:t>D-3275/2022 Seite 10 muss davon ausgegangen werden, dass sie sich – auch unter Berücksich- tigung ihres psychischen Zustands – ausreichend zu ihren Asylgründen be- ziehungsweise zu möglichen Wegweisungsvollzugshindernissen äussern konnte, womit die entscheidwesentlichen Sachverhaltselemente erstellt sind.</w:t>
      </w:r>
    </w:p>
    <w:p>
      <w:r>
        <w:rPr>
          <w:b/>
        </w:rPr>
        <w:t>E. 4.3</w:t>
      </w:r>
    </w:p>
    <w:p>
      <w:r>
        <w:t>Insofern die Beschwerdeführerin beanstandet, das SEM habe sich un- zureichend mit ihrer persönlichen Situation als junge alleinstehende Frau auseinandergesetzt, vermischt sie die Frage des rechtserheblichen Sach- verhalts mit der Frage der rechtlichen Würdigung der Sache. Das SEM hat alle wesentlichen Überlegungen genannt, die es seinem Entscheid zu- grunde legte. In seiner Vernehmlassung vom 19. August 2022 hat sich das SEM überdies eingehend mit den Behandlungsmöglichkeiten ihrer psychi- schen Beschwerden in Namibia auseinandergesetzt. Der blosse Umstand, dass sie die Auffassung des SEM nicht teilt, ist keine Verletzung der Be- gründungspflicht, sondern eine Frage der materiellen Beurteilung. Das Ge- richt entscheidet in der Sache selbst (vgl. Art. 61 Abs. 1 VwVG).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 sungsvollzugshindernissen gilt gemäss Praxis des Bundesverwaltungsge- richts der gleiche Beweisstandard wie bei der Prüfung der Flüchtlingsei- genschaft; das heisst, sie sind zu beweisen, wenn der strikte Beweis mög- 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w:t>
      </w:r>
    </w:p>
    <w:p>
      <w:r>
        <w:rPr>
          <w:b/>
        </w:rPr>
        <w:t>E. 5.2.1</w:t>
      </w:r>
    </w:p>
    <w:p>
      <w:r>
        <w:t>Die Vorinstanz wies in ihrer angefochtenen Verfügung zutreffend da- rauf hin, dass das Prinzip des flüchtlingsrechtlichen Non-Refoulement nur Personen schützt, die die Flüchtlingseigenschaft erfüllen. Die Dispositivzif- fer 1 (Flüchtlingseigenschaft) der angefochtenen Verfügung ist in Rechts- kraft erwachsen, weshalb der in Art. 5 AsylG verankerte Grundsatz der Nichtrückschiebung im vorliegenden Verfahren keine Anwendung findet.</w:t>
      </w:r>
    </w:p>
    <w:p>
      <w:r>
        <w:t>D-3275/2022 Seite 11</w:t>
      </w:r>
    </w:p>
    <w:p>
      <w:r>
        <w:rPr>
          <w:b/>
        </w:rPr>
        <w:t>E. 5.2.2</w:t>
      </w:r>
    </w:p>
    <w:p>
      <w:r>
        <w:t>Sodann ergeben sich weder aus den Aussagen der Beschwerdefüh- rerin noch aus den Akten Anhaltspunkte dafür, dass sie für den Fall einer Rückkehr nach Namibia dort mit beachtlicher Wahrscheinlichkeit einer nach Art. 3 der Konvention vom 4. November 1950 zum Schutze der Men- schenrechte und Grundfreiheiten (EMRK, SR 0.101) oder Art. 1 des Über- einkommens vom 10. Dezember 1984 gegen Folter und andere grausame, unmenschliche oder erniedrigende Behandlung oder Strafe (FoK, SR 0.105) verbotenen Strafe oder Behandlung ausgesetzt wäre. Dabei ist auf die grundsätzliche Schutzfähigkeit und –willigkeit der Behörden bezüg- lich allfälliger Übergriffe privater Dritter zu verweisen. Gemäss der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vom 28. Februar 2008, Grosse Kammer 37201/06, §§ 124–127 m.w.H.).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5.4</w:t>
      </w:r>
    </w:p>
    <w:p>
      <w:r>
        <w:t>Zunächst ist festzustellen, dass bezüglich die allgemeine Situation in Namibia – aktuell herrscht weder Krieg noch eine Situation allgemeiner Gewalt – keine Gründe ersichtlich sind, die den Vollzug der Wegweisung dorthin als unzumutbar erscheinen lassen.</w:t>
      </w:r>
    </w:p>
    <w:p>
      <w:r>
        <w:rPr>
          <w:b/>
        </w:rPr>
        <w:t>E. 5.5</w:t>
      </w:r>
    </w:p>
    <w:p>
      <w:r>
        <w:t>Vor dem wirtschaftlichen Hintergrund Namibias und der Biographie der Beschwerdeführerin ist zu prüfen, ob es individuelle Gründe gibt, die gegen ihre Rückkehr nach Namibia sprechen.</w:t>
      </w:r>
    </w:p>
    <w:p>
      <w:r>
        <w:rPr>
          <w:b/>
        </w:rPr>
        <w:t>E. 5.5.1</w:t>
      </w:r>
    </w:p>
    <w:p>
      <w:r>
        <w:t>Die Beschwerdeführerin ist eine junge und alleinerziehende Mutter, die angibt, (wohl im informellen Sektor) mit ihrer Freundin jeweils am Wo- chenende Eis verkauft zu haben (vgl. Anhörung vom 28. Juni 2022 F83),</w:t>
      </w:r>
    </w:p>
    <w:p>
      <w:r>
        <w:t>D-3275/2022 Seite 12 ansonsten aber nie in ihrem Leben gearbeitet zu haben. Sie habe in ärmli- chen Verhältnissen, zwar mit Elektrizität, aber ohne fliessendes Wasser, gelebt (vgl. Anhörung F79). Sie sei «nicht aus der oberen Schicht und auch nicht aus der untersten Schicht» (vgl. Anhörung F77). Ihre Vorbringen ste- hen grundsätzlich im Einklang mit der sozioökonomischen Lage in Nami- bia, die von grosser Ungleichheit und weitgehender Armut geprägt ist. Ge- mäss der Bertelsmann Stiftung sind von alleinstehenden Frauen geführte Haushalte in Namibia öfter von Armut betroffen als diejenigen von Männern (vgl. Bertelsmann Stiftung, BTI 2018 Country Report – Namibia, 2018, &lt;https://bti-project.org/fileadmin/api/content/en/downloads/reports/country _report_2018-_NAM.pdf&gt;; NAMIBIA STATISTICS AGENCY (NSA) ET AL., Nami- bia Multidimensional Poverty Index (MPI) Report 2021, 06.2021, &lt;https://www.unicef.org/esa/media/9041/file/UNICEF-Namibia-Multidimen sional-Poverty-Index-2021.pdf&gt;, beide abgerufen am 15.09.2022). Die Weltbank bezeichnet die Ungleichheiten zwischen den Geschlechtern in Namibia als «akut» und bringt die häufig vorkommende geschlechtsspezi- fische Gewalt unter anderem mit Armut in Verbindung (vgl. WORLD BANK, Namibia – Systematic Country Diagnostic, 07.2021 &lt;https://documents1.worldbank.org/curated/en/976371617896981427/-pd f/Namibia-Systematic-Country-Diagnostics.pdf&gt;, abgerufen am 15.09.2022). Die Arbeitslosigkeit Namibias liegt bei etwa 38% bei den 15- bis 24-Jährigen (vgl. BUNDESMINISTERIUM FÜR WIRTSCHAFTLICHE ZUSAM- MENARBEIT UND ENTWICKLUNG [BMZ], Namibia – Wirtschaftliche Situation: Schwieriger Weg aus der Krise, undatiert, &lt;https://www.bmz.de/de/laen- der/namibia/wirtschaftliche-situation-11756&gt;, abgerufen am 15.09.2022). Ein grosser Teil der Einkommen wird allerdings im informellen Sektor er- wirtschaftet, dessen wirtschaftliche Tätigkeit nicht staatlich erfasst, regu- liert und kontrolliert wird (vgl. WORLD BANK, Namibia – Systematic Country Diagnostic, a.a.O.). Die wirtschaftliche Lage stellt deshalb grundsätzlich ein Erschwernis für die Beschwerdeführerin dar, vermag aber für sich al- leine noch nicht die Unzumutbarkeit des Wegweisungsvollzugs zu begrün- den.</w:t>
      </w:r>
    </w:p>
    <w:p>
      <w:r>
        <w:rPr>
          <w:b/>
        </w:rPr>
        <w:t>E. 5.5.2</w:t>
      </w:r>
    </w:p>
    <w:p>
      <w:r>
        <w:t>Hinsichtlich des sozialen Netzes der Beschwerdeführerin im Heimat- staat ist zunächst zu bemerken, dass sie geltend machte, Opfer einer dro- henden Zwangsehe und einer Vergewaltigung geworden zu sein, die mit der Absicht begangen wurde, ihre sexuelle Orientierung als lesbische Frau zu «kurieren». Gleichgeschlechtliche Beziehungen sind in Namibia zwar nicht offiziell verboten, dennoch erachtet die konservative Gesellschaft diese als Tabu, wobei homosexuelle Personen zum Teil belästigt und dis- kriminiert werden (vgl. US DEPARTMENT OF STATE, 2021 Country Reports</w:t>
      </w:r>
    </w:p>
    <w:p>
      <w:r>
        <w:t>D-3275/2022 Seite 13 on Human Rights Practices: Namibia, &lt;https://www.state.gov/re- ports/2021-country-reports-on-human-rights-practices/namibia/&gt;, abgeru- fen am 15.09.2022). Weil ihre Onkel und ihr Halbbruder die Vergewaltigung (wohl mithilfe der Mutter) organisiert haben, kann von der Beschwerdefüh- rerin nicht erwartet werden, sich unter den Schutz ihrer Familie zu stellen, beziehungsweise würden diese sie wohl ohnehin nicht im Sinne eines so- zialen Netzes wirtschaftlich und sozial unterstützen. Wie sie in ihrer Be- schwerde zu Recht geltend macht, ist ein ambivalentes Verhältnis zur Tä- terin – Fürsorge und Gewalt können in einem Spannungsverhältnis zuei- nander stehen – insbesondere bei geschlechtsspezifischer Gewalt grund- sätzlich nachvollziehbar (vgl. SABINE ANDRESEN ET AL., Sexuelle Gewalt in der Familie, Gesellschaftliche Aufarbeitung sexueller Gewalt gegen Kinder und Jugendliche von 1945 bis in die Gegenwart, 2021, &lt;https://www.aufar- beitungskommission.de/wp-content/uploads/Studie_Sexuelle-Gewalt-in-d er-Familie_bf.pdf&gt;, abgerufen am 15.09.2022), wobei sie das komplexe Verhältnis zur Mutter bereits in der Anhörung beschrieben hat (Schläge, versuchte Zwangsheirat, Mithilfe bei der Organisation der «Correctional Rape» sowie finanzielle Unterstützung und Unterbringung während der Schwangerschaft, vgl. Anhörung vom 28. Juni 2022, F40, F89, F94, F104 und F109), selbst wenn sie damals keine Todesangst erwähnte. Vorliegend fällt aber vor allem ins Gewicht, dass sie sich von ihrer Familie, inklusive ihrer Mutter, sowohl emotional als auch finanziell gelöst hat und weitge- hend selbständig ist. So ist sie für die 10. Klasse nach B._______ gezogen, wo sie bei einer Freundin gewohnt hat (vgl. Anhörung F20-F21 und F26), die in einem Laden gearbeitet und jeweils Ende Monat einen Gehalt erhal- ten habe (vgl. Anhörung F80), wobei auch ihr Sohn in ihrer Abwesenheit von dieser Freundin versorgt wird (vgl. Anhörung F72 und F74), sodass davon auszugehen ist, sie werde von dieser Seite auch bei ihrer Rückkehr Hilfe erhalten (vgl. auch Urteil des BVGer D-3461/2022 vom 19. August 2022). Daran vermag auch nichts zu ändern, dass sie in ihrer Stellung- nahme vom 6. Juli 2022 geltend machte, ihre Freundin lebe fortan mit dem Sohn der Beschwerdeführerin auf dem Land bei ihrer Grossmutter als Bau- ern, zumal damit die Grundversorgung ihres Sohnes gesichert sein dürfte. Anzumerken ist, dass sich aus den Akten nicht ergibt, ob die Freundin gar die Lebenspartnerin der Beschwerdeführerin ist. Es kann immerhin davon ausgegangen werden, dass diese Freundin ihr als sehr enge Vertraute un- terstützend beisteht und sie somit auf ein genügendes soziales Netzwerk zurückgreifen kann. Auch die versuchte Zwangsheirat Ende Dezember 2021, derer sie sich erfolgreich widersetzt hatte, vermag dies nicht zu än- dern. Ebenso ist unwahrscheinlich, dass ihre Mutter derart gut vernetzt ist, dass die Beschwerdeführerin nicht vor ihr sicher ist (vgl. Anhörung F160-</w:t>
      </w:r>
    </w:p>
    <w:p>
      <w:r>
        <w:t>D-3275/2022 Seite 14 F161). Zudem gibt es auch in Namibia Organisationen, die sich für die Rechte von LGBTQI+ Personen einsetzen (vgl. HOME OFFICE, 48, Country Policy and Information Note Namibia: Sexual orientation and gender iden- tity and expression, 11.2021, &lt;https://assets.publishing.ser- vice.gov.uk/government/uploads/system/uploads/attachment_data/file/103 5840/-NAM_CPIN_Sexual_orientation_gender_identity_and_expression_ _002_.pdf&gt;, abgerufen am 15.09.2022). Schliesslich muss darauf hinge- wiesen werden, dass sie keinerlei Angaben zur Finanzierung ihres Fluges in die Schweiz – offensichtlich ist sie mithilfe eines Schleppers ausgereist – gemacht hat (vgl. Anhörung vom 28. Juni 2022 F127-F129), womit sie ihre finanziellen Verhältnisse nicht vollständig offengelegt hat. Es ist somit auch nicht auszuschliessen, dass sie nicht von anderer Seite finanziell un- terstützt wird.</w:t>
      </w:r>
    </w:p>
    <w:p>
      <w:r>
        <w:rPr>
          <w:b/>
        </w:rPr>
        <w:t>E. 5.5.3</w:t>
      </w:r>
    </w:p>
    <w:p>
      <w:r>
        <w:t>Bezüglich der in den Arztberichten vom 27. April 2022 und dem 12. Mai 2022 diagnostizierten gesundheitlichen Beschwerden, einer An- passungsstörung mit der Differentialdiagnose PTBS, kann davon ausge- gangen werden, dass diese grundsätzlich in Namibia behandelt werden können (vgl. NATIONAL LIBRARY OF MEDICINE, Country Profile – Primary Healthcare and Family Medicine in Namibia, 07.01.2020, &lt;https://www.ncbi.nlm.nih.gov/pmc/articles/PMC7061223/&gt;, abgerufen am 15.09.2022), selbst wenn sie dafür die Kosten für eine Behandlung vo- rübergehend selbst tragen müsste. In diesem Zusammenhang ist auf ak- tuelle namibische Berichterstattung hinzuweisen, wonach nächstes Jahr eine allgemeine Gesundheitsversicherung, der «Universal Health Care Plan», eingeführt werden soll (vgl. THE BRIEF, Namibia to implement Uni- versal Health Care next year, 27.07.2022, &lt;https://www.thebrief.com.na/in- dex.php/component/k2/item/1483-namibia-to-implement-universal-health- care-in-2023&gt;; NEWERALIVE, Namibia to implement universal health coverage, 28.07.2022, &lt;https://neweralive.na/posts/namibia-to-imple- ment-universal-health-coverage&gt;, beide abgerufen am 15.09.2022). Die Beschwerdeführerin macht weiter zwei Suizidversuche in Namibia sowie suizidale Gedanken geltend. Es ist darauf hinzuweisen, dass sie in Nami- bia bereits bezüglich des Suizidversuchs Ende 2021 hospitalisiert und be- handelt wurde. Angesichts dessen erscheint auch der Einwand, sie könne sich die medizinische Behandlung nicht leisten, unbehelflich. Zwischenzeit- lich liegen keine diesbezüglichen Arztberichte und auch keine Hinweise auf eine aktuelle Suizidalität vor. Insofern die Umstände – der familiäre Druck und die Behelligungen durch die Mutter – im Zusammenhang mit der Sui- zidalität gestanden haben, dürften diese bei einer Rückkehr wegfallen, zu- mal die Beschwerdeführerin nun nicht mehr von ihrer Mutter abhängig ist.</w:t>
      </w:r>
    </w:p>
    <w:p>
      <w:r>
        <w:t>D-3275/2022 Seite 15 Schliesslich kann sie die medizinische Rückkehrhilfe, beispielsweise in der Form der Mitgabe von Medikamenten oder der Übernahme von Kosten für notwendige Therapien, in Anspruch nehmen (Art. 93 Abs. 1 Bst. d AsylG, Art. 75 der Asylverordnung 2 vom 11. August 1999 [AsylV 2, SR 142.312]).</w:t>
      </w:r>
    </w:p>
    <w:p>
      <w:r>
        <w:rPr>
          <w:b/>
        </w:rPr>
        <w:t>E. 5.5.4</w:t>
      </w:r>
    </w:p>
    <w:p>
      <w:r>
        <w:t>Nach dem Gesagten erweist sich der Vollzug der Wegweisung auch als zumutbar.</w:t>
      </w:r>
    </w:p>
    <w:p>
      <w:r>
        <w:rPr>
          <w:b/>
        </w:rPr>
        <w:t>E. 5.6</w:t>
      </w:r>
    </w:p>
    <w:p>
      <w:r>
        <w:t>Schliesslich ist der Vollzug der Wegweisung der Beschwerdeführerin, die über einen gültigen Reisepass verfügt, in den Heimatsstaat auch als möglich zu bezeichnen (Art. 83 Abs. 2 AIG).</w:t>
      </w:r>
    </w:p>
    <w:p>
      <w:r>
        <w:rPr>
          <w:b/>
        </w:rPr>
        <w:t>E. 5.7</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wären die Kosten des Verfahrens grundsätzlich der Beschwerdeführerin aufzuerlegen (Art. 63 Abs. 1 VwVG; Art. 1-3 des Reglements vom 21. Februar 2008 über die Kosten und Ent- schädigungen vor dem Bundesverwaltungsgericht [VGKE, SR 173.320.2]). Nachdem das Gesuch um Gewährung der unentgeltlichen Prozessführung mit Zwischenverfügung vom 3. August 2022 gutgeheissen wurde und es keine Hinweise auf eine massgebliche zwischenzeitliche Veränderung gibt, sind jedoch keine Kosten aufzuerlegen.</w:t>
      </w:r>
    </w:p>
    <w:p>
      <w:r>
        <w:t>(Dispositiv nächste Seite)</w:t>
      </w:r>
    </w:p>
    <w:p>
      <w:r>
        <w:t>D-3275/2022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