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D-3272/2025 vom 1. Mai 2026</w:t>
      </w:r>
    </w:p>
    <w:p>
      <w:r>
        <w:t>Bundesverwaltungsgericht, 2026-05-01, DE</w:t>
      </w:r>
    </w:p>
    <w:p>
      <w:r>
        <w:rPr>
          <w:b/>
        </w:rPr>
        <w:t xml:space="preserve">Quelle: </w:t>
      </w:r>
      <w:r>
        <w:t>https://mcp.opencaselaw.ch/entscheid/bvger_D-3272_2025</w:t>
      </w:r>
    </w:p>
    <w:p>
      <w:r>
        <w:t>FR: TAF D-3272/2025 du 1 mai 2026</w:t>
      </w:r>
    </w:p>
    <w:p>
      <w:r>
        <w:t>IT: TAF D-3272/2025 del 1 maggio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Der Beschwerdeführer rügt sinngemäss eine Verletzung des rechtlichen Gehörs, indem die Vorinstanz den Sachverhalt unvollständig beziehungsweise unrichtig festgestellt habe. Diese formelle Rüge ist vorab zu prüfen, da ihre Begründetheit die Kassation der vorinstanzlichen Verfügung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Weiter stellen die Asylbehörden den Sachverhalt von Amtes wegen fest (Art. 6 AsylG i.V.m. Art. 12 VwVG). Dabei haben sie die für das Verfahren erforderlichen Sachverhaltsunterlagen zu beschaffen, die rechtlich relevanten Umstände abzuklären und darüber ordnungsgemäss Beweis zu führen (vgl. Art. 30 ff. VwVG). Unrichtig ist die Sachverhaltsfeststellung,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Koordinationsurteil des BVGer D-2590/2025 vom 11. September 2025 E. 5.2 mit Hinweisen).</w:t>
      </w:r>
    </w:p>
    <w:p>
      <w:r>
        <w:rPr>
          <w:b/>
        </w:rPr>
        <w:t>E. 4.2.2</w:t>
      </w:r>
    </w:p>
    <w:p>
      <w:r>
        <w:t>Die angefochtene Verfügung entspricht den an sie in materieller und formeller Hinsicht gestellten Anforderungen. Die Vorinstanz hat den rechtserheblichen Sachverhalt rechtsgenüglich festgestellt und ihren Entscheid in tatsächlicher und rechtlicher Hinsicht nachvollziehbar begründet sowie im Einzelnen hinreichend differenziert dargelegt, von welchen Überlegungen sie sich leiten liess (vgl. angefochtene Verfügung S. 4 ff.). Der Beschwerdeführer legt keine konkreten Anhaltspunkte dar, welche Zweifel an der vorinstanzlichen Sachverhaltsfeststellung zu begründen vermöchten. Seine Ausführungen erschöpfen sich vielmehr in pauschalen sowie unbelegten Behauptungen und es ist auch aus der Beschwerde, den im Rahmen der Beschwerde eingereichten Beweismitteln und den zitierten Quellen nicht ersichtlich, inwiefern diesen im vorliegenden Verfahren entscheidrelevante Bedeutung zukommen soll (vgl. Beschwerde S. 7 ff.). Der Umstand, dass der Beschwerdeführer die Schlussfolgerungen der Vorinstanz nicht teilt,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4.3</w:t>
      </w:r>
    </w:p>
    <w:p>
      <w:r>
        <w:t>Folglich rechtfertigt sich eine Rückweisung der Sache an die Vorinstanz zur Neubeurteilung nicht. Das Subeventualbegehren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Subjektive Nachfluchtgründe sind anzunehmen, wenn eine asylsuchende Person erst durch die Flucht aus dem Heimat- oder Herkunftsstaat oder wegen ihres Verhaltens nach der Ausreise eine Verfolgung im Sinn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m.w.H.).</w:t>
      </w:r>
    </w:p>
    <w:p>
      <w:r>
        <w:rPr>
          <w:b/>
        </w:rPr>
        <w:t>E. 5.4.1</w:t>
      </w:r>
    </w:p>
    <w:p>
      <w:r>
        <w:t>Nach Prüfung der Akten ist festzustellen, dass die Vorbringen des Beschwerdeführers die Voraussetzungen der Flüchtlingseigenschaft gemäss Art. 3 AsylG nicht erfüllen. In tatsächlicher und rechtlicher Hinsicht ist den Erwägungen der Vorinstanz zu folgen; auf diese kann verwiesen werden (vgl. angefochtene Verfügung S.4 ff.). Die vorinstanzliche Schlussfolgerung ist nicht zu beanstanden. Die Beschwerdevorbringen sind nicht geeignet, zu einer von der Vorinstanz abweichenden Betrachtungsweise zu gelangen, vermögen sie dieser doch nichts Stichhaltiges entgegenzuhalten.</w:t>
      </w:r>
    </w:p>
    <w:p>
      <w:r>
        <w:rPr>
          <w:b/>
        </w:rPr>
        <w:t>E. 5.4.2</w:t>
      </w:r>
    </w:p>
    <w:p>
      <w:r>
        <w:t>Hinsichtlich der vom Beschwerdeführer geltend gemachten politischen Aktivitäten für die HDP sowie die Partei der Grünen und linken Zukunft teilt das Bundesverwaltungsgericht die Einschätzung der Vorinstanz, dass die Schilderungen den Anforderungen an die Glaubhafthaftmachung gemäss Art. 7 AsylG nicht genügen. Wer sich über Jahre hinweg intensiv und aktiv für eine politische Gruppierung engagiert haben will, müsste in der Lage sein, die konkreten Abläufe, Ereignisse und das eigene Zutun detailreich und substanziiert zu beschreiben. Der Beschwerdeführer beschränkte sich indes selbst auf mehrfache Nachfrage hin auf blasse und schablonenhafte Aufzählungen. Seine Angaben zur Verteilung von Broschüren am Newroz-Fest oder zu Aufrufen mittels eines mit Lautsprechern ausgestatteten Fahrzeugs (vgl. SEM-act. 16/10 F28 f.) blieben an der Oberfläche. Bezeichnenderweise konnte er weder die Herkunft der Broschüren präzisieren (vgl. SEM-act. 16/10 F34 f.) noch spezifische, einprägsame Erlebnisse seiner Teilnahme an Demonstrationen schildern, sondern wich auf allgemeine Hilfstätigkeiten wie Putzen, Teeverteilen oder das Aufstellen von Stühlen aus (vgl. SEM-act. 16/10 F35 f.). Solche vagen Allgemeinplätze sind beliebig reproduzierbar und weisen keine autobiographischen Realkennzeichen auf.</w:t>
      </w:r>
    </w:p>
    <w:p>
      <w:r>
        <w:rPr>
          <w:b/>
        </w:rPr>
        <w:t>E. 5.4.3</w:t>
      </w:r>
    </w:p>
    <w:p>
      <w:r>
        <w:t>Auch die Schilderungen zur geltend gemachten Festnahme am (...) und dem angeblichen Rekrutierungsversuch durch den türkischen Nachrichtendienst Millî stihbarat Te kilâti (M T) vermögen die Glaubhaftigkeitsvorbehalte nicht zu zerstreuen. Die Darstellung des Beschwerdeführers erweist sich als realitätsfremd und in sich widersprüchlich. Er gab an, die Beamten hätten ihm gedroht, ihn ins Gefängnis zu werfen oder zu töten, falls er nicht als Agent für sie arbeite (vgl. SEM-act. 12/9 F33; SEM-act. 16/10 F11). Dennoch will er bereits nach wenigen Stunden unbehelligt freigelassen worden sein, nachdem er der Agententätigkeit aus Angst verbal zugestimmt habe (vgl. SEM-act. 16/10 F18 f.). Es ist sachlogisch nicht nachvollziehbar, dass Kräfte des staatlichen Nachrichtendienstes, die den angeblich als oppositionellen Gegner identifizierten Beschwerdeführer nach angeblich wochenlanger Observation (vgl. SEM-act. 16/10 F23) allein aufgrund einer mündlichen Zusicherung der Kooperation unverzüglich wieder auf freien Fuss setzen, ohne ihm sogleich konkrete Aufgaben zuzuweisen oder Druckmittel zu sichern (vgl. SEM-act. 16/10 F22). Soweit in der Beschwerde hiergegen eingewendet wird, der Beschwerdeführer sei während der Anhörungen aufgrund der Traumatisierung durch die Todesdrohungen aufgeregt gewesen, vermag dies die inhaltliche Leere und Stereotypie der Aussagen nicht zu erklären.</w:t>
      </w:r>
    </w:p>
    <w:p>
      <w:r>
        <w:rPr>
          <w:b/>
        </w:rPr>
        <w:t>E. 5.4.4</w:t>
      </w:r>
    </w:p>
    <w:p>
      <w:r>
        <w:t>Was die auf Beschwerdeebene gerügte flüchtlingsrechtliche Relevanz der in der Türkei eingeleiteten Straf- und Ermittlungsverfahren wegen Beleidigung des Staatspräsidenten (Art. 299 Türk Ceza Kanunu [tStGB]), Beleidigung (Art. 125 tStGB) sowie Propaganda für eine Terrororganisation (Art. 7 Abs. 2 Terörle Mücadele Kanunu [ATG]) betrifft, ist vorab mit der Vorinstanz festzuhalten, dass aus der Türkei stammende, verfahrensbegleitende Strafakten aufgrund mangelnder biometrischer Sicherheitsmerkmale und ihrer leichten Käuflichkeit grundsätzlich nur einen geringen Beweiswert aufweisen (vgl. Urteile des BVGer D-7109/2023 vom 14. November 2024 E. 3.6; E 1067/2023 vom 24. April 2024 E. 7.2). Deren Echtheit kann indessen vorliegend offengelassen werden, zumal die Verfahren ohnehin den Kriterien der flüchtlingsrechtlichen Relevanz gemäss dem Koordinationsurteil des Bundesverwaltungsgerichts nicht standhalten (vgl. Referenzurteil des BVGer E-4103/2024 vom 8. November 2024 E. 8.2). Sodann gilt der Beschwerdeführer in der Türkei als strafrechtlich unbescholten (vgl. SEM-act. 12/9 F15 f.) und weist kein geschärftes oppositionelles Profil auf. Gemäss ständiger Rechtsprechung werden in Verfahren wegen Präsidentenbeleidigung oder Terrorpropaganda bei Ersttätern ohne herausragendes politisches Profil die Strafrahmen in der Regel nicht ausgeschöpft. Allfällige Freiheitsstrafen werden häufig bedingt ausgesprochen oder im offenen Vollzug vollstreckt (vgl. Referenzurteil E-4103/2024 E. 8.7.1 f.). Die in der Beschwerde vorgebrachten spekulativen Berechnungen zu Kettendelikten und zwingenden unbedingten Freiheitsstrafen blenden die tatsächliche Praxis der türkischen Strafjustiz bei minderschweren Social-Media-Delikten aus, weshalb es am Kriterium der beachtlichen Wahrscheinlichkeit einer flüchtlingsrechtlich relevanten Strafe fehlt. Daran ändern auch die in diesem Kontext erlassenen Vorführbefehle nichts. Wie die Vorinstanz zutreffend erwog, dienen diese primär der Zuführung zur Einvernahme und führen nicht regelmässig zu Untersuchungshaft, da bei Delikten nach Art. 7 Abs. 2 ATG kein zwingender Haftgrund gemäss Art. 100 Abs. 3 tStPO vorliegt (vgl. Urteile des BVGer E-1472/2024 vom 12. April 2024 E. 6.2; D-994/2024 vom 10. April 2024 E. 6.3). Allgemeine Verweise in der Beschwerdeschrift auf Zeitungsartikel über Verhaftungen vermögen schliesslich keine individuelle, asylrechtlich relevante Gefährdung darzutun; objektive Anhaltspunkte, dass dem Beschwerdeführer bei einer Einreise in seinem spezifischen Einzelfall systematische Misshandlung oder Folter drohen würde, sind nicht ersichtlich.</w:t>
      </w:r>
    </w:p>
    <w:p>
      <w:r>
        <w:rPr>
          <w:b/>
        </w:rPr>
        <w:t>E. 5.4.5</w:t>
      </w:r>
    </w:p>
    <w:p>
      <w:r>
        <w:t>Unabhängig von der fehlenden Intensität der drohenden Strafen teilt das Gericht die Auffassung der Vorinstanz, dass das Verhalten des Beschwerdeführers als rechtsmissbräuchlich im Sinne von Art. 54 AsylG zu qualifizieren ist. Die inkriminierten Handlungen (Teilen eines beleidigenden Artikels auf Facebook) datieren vom (...) und erfolgten damit unmittelbar vor seiner behaupteten Ausreise. Eine solche bewusste Provozierung einer strafrechtlichen Untersuchung unmittelbar vor der Flucht, gestützt auf isolierte Social-Media-Aktivitäten ohne Einbettung in ein ernsthaftes politisches Engagement ist geeignet, subjektive Nachfluchtgründe zu konstruieren. Angesichts der enormen Masse an regimekritischen Beiträgen im Internet erscheint es zudem ohne gezielte Denunziation oder Selbstanzeige höchst unwahrscheinlich, dass die Sicherheitsbehörden zufällig auf das über eine minimale Streubreite verfügende Social-Media-Profil des Beschwerdeführers stossen. Die prompte Einleitung eines Ermittlungsverfahrens aufgrund dieses Ereignisses deutet stark darauf hin, dass die Aufmerksamkeit der Behörden gezielt auf diese Handlung gelenkt wurde. Ein derartiges Verhalten verdient gemäss ständiger Praxis keinen Schutz, weshalb nicht auf eine flüchtlingsrechtlich relevante Gefährdung geschlossen werden darf (vgl. Referenzurteil E-4103/2024 E. 8.7.5; Urteil des BVGer D-2098/2021 vom 24. November 2022, E. 5.3.3 f.). Der Einwand in der Beschwerde, es handle sich um einen legitimen demokratischen Kampf, zielt angesichts der zeitlichen Koinzidenz mit der Ausreise und des fehlenden politischen Profils ins Leere. Nichts anderes gilt für die im Rahmen der Rechtsmitteleingabe schliesslich geltend gemachten exilpolitischen Aktivitäten in der Schweiz, welche unsubstanziiert bleiben. Die blosse Teilnahme an Veranstaltungen oder Demonstrationen der kurdischen Diaspora in der Schweiz ohne Übernahme einer exponierten, führenden Rolle reicht selbst bei Wahrunterstellung nicht aus, um die Aufmerksamkeit der türkischen Geheimdienste auf sich zu ziehen. Es liegen keine konkreten Anhaltspunkte dafür vor, dass der Beschwerdeführer durch die türkischen Behörden in der Schweiz identifiziert worden wäre oder bei einer Rückkehr deswegen mit flüchtlingsrechtlich relevanten Nachteilen rechnen müsste. Auch hieraus lässt sich folglich keine begründete Furcht vor künftiger Verfolgung ableiten.</w:t>
      </w:r>
    </w:p>
    <w:p>
      <w:r>
        <w:rPr>
          <w:b/>
        </w:rPr>
        <w:t>E. 5.5</w:t>
      </w:r>
    </w:p>
    <w:p>
      <w:r>
        <w:t>Zusammenfassend ist festzuhalten, dass die zentralen Vorbringen des Beschwerdeführers die Anforderungen an die Glaubhaftigkeit gemäss Art. 7 AsylG nicht erfüllen. Sodann liegen keine konkreten Hinweise darauf vor, dass der Beschwerdeführer einer asylbeachtlichen Verfolgung oder einer entsprechenden Verfolgungsgefahr ausgesetzt war oder im Falle seiner Rückkehr in den Heimatstaat ernsthafte Nachteile im Sinne von Art. 3 Abs. 2 AsylG zu gewärtigen hätte. Folglich hat die Vorinstanz zu Recht die Flüchtlingseigenschaft verneint und das Asylgesuch abgelehnt.</w:t>
      </w:r>
    </w:p>
    <w:p>
      <w:r>
        <w:rPr>
          <w:b/>
        </w:rPr>
        <w:t>E. 6.1</w:t>
      </w:r>
    </w:p>
    <w:p>
      <w:r>
        <w:t>Lehnt das SEM das Asylgesuch ab oder tritt es darauf nicht ein, so verfügt es in der Regel die Wegweisung aus der Schweiz und ordnet den Vollzug an (Art. 44 AsylG).</w:t>
      </w:r>
    </w:p>
    <w:p>
      <w:r>
        <w:rPr>
          <w:b/>
        </w:rPr>
        <w:t>E. 6.2</w:t>
      </w:r>
    </w:p>
    <w:p>
      <w:r>
        <w:t>Aus dem ins Recht gelegten Schreiben des Zivilstandsamts Furttal vom 26. November 2025 ergibt sich, dass der Beschwerdeführer ein Gesuch um Ehevorbereitung eingereicht hat. Aus diesem pendenten Verfahren kann der vertretene Beschwerdeführer jedoch bereits nichts zu seinen Gunsten ableiten. Hinzu kommt, dass ein Ehevorbereitungsverfahren in der Schweiz nicht zwingend die Anwesenheit beider Brautleute in der Schweiz bedingt (vgl. Art. 62 ff. insbes. Art. 63 Abs. 2 und Art. 69 Abs. 2 der Zivilstandsverordnung vom 28. April 2004 [ZStV, SR 211.112.2]) und der Beschwerdeführer den Ausgang des Verfahrens im Ausland abwarten kann (vgl. Urteil des BVGer E-3965/2025 vom 4. Juni 2025 E. 8.2.2).</w:t>
      </w:r>
    </w:p>
    <w:p>
      <w:r>
        <w:rPr>
          <w:b/>
        </w:rPr>
        <w:t>E. 6.3</w:t>
      </w:r>
    </w:p>
    <w:p>
      <w:r>
        <w:t>Der Beschwerdeführer verfügt damit weder über eine ausländerrechtliche Aufenthaltsbewilligung noch über einen klar erkennbaren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Weder die allgemeine Lage in der Türkei noch individuelle Gründe wirtschaftlicher, sozialer oder gesundheitlicher Natur lassen auf eine konkrete Gefährdung des Beschwerdeführers im Fall einer Rückkehr schliessen. Der Beschwerdeführer ist ein junger, gemäss eigenen Angaben vollkommen gesunder Mann (vgl. SEM-act. 12/9 F22) und verfügt über einen Gymnasialabschluss im Bereich (...) samt Praktikumserfahrung (vgl. SEM-act. 12/9 F11 f.). Zudem kann er im Heimatland auf ein äusserst tragfähiges familiäres und wirtschaftliches Netz zurückgreifen (vgl. SEM-act. 12/9 F8), zumal seine Familie Ländereien sowie acht vermietete Läden im Stadtzentrum von B._______ besitzt, weshalb die Familie in äusserst komfortablen finanziellen Verhältnissen lebt (vgl. SEM-act. 12/9 F17). Angesichts dieser intakten und privilegierten familiären Strukturen sowie seiner beruflichen Qualifikationen für einen nachgefragten Sektor ist nicht davon auszugehen, dass der Beschwerdeführer bei einer Rückkehr in eine existenzbedrohende Notlage geraten könnte. Eine Reintegration in die türkische Gesellschaft und den dortigen Arbeitsmarkt ist ihm vollumfänglich zuzumuten. Der Vollzug der Wegweisung erweist sich folglich auch in individueller Hinsicht als zumutbar.</w:t>
      </w:r>
    </w:p>
    <w:p>
      <w:r>
        <w:rPr>
          <w:b/>
        </w:rPr>
        <w:t>E. 7.4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sind die Kosten dem Beschwerdeführer aufzuerlegen (Art. 63 Abs. 1 VwVG) und auf Fr. 1'000.-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