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D-3271/2024 vom 23. März 2026</w:t>
      </w:r>
    </w:p>
    <w:p>
      <w:r>
        <w:t>Bundesverwaltungsgericht, 2026-03-23, DE</w:t>
      </w:r>
    </w:p>
    <w:p>
      <w:r>
        <w:rPr>
          <w:b/>
        </w:rPr>
        <w:t xml:space="preserve">Quelle: </w:t>
      </w:r>
      <w:r>
        <w:t>https://mcp.opencaselaw.ch/entscheid/bvger_D-3271_2024</w:t>
      </w:r>
    </w:p>
    <w:p>
      <w:r>
        <w:t>FR: TAF D-3271/2024 du 23 mars 2026</w:t>
      </w:r>
    </w:p>
    <w:p>
      <w:r>
        <w:t>IT: TAF D-3271/2024 del 23 marzo 2026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Die Beschwerde ist frist- und formgerecht eingereicht worden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Angehörige der kurdisch-alevitischen Bevölkerung könnten in der Türkei Schikanen und Benachteiligungen ausgesetzt sein. Dabei handle es sich nicht um ernsthafte Nachteile im Sinne des Asylgesetzes, die einen Verbleib im Heimatland verunmöglichen oder unzumutbar erschweren würden. Die allgemeine Situation, in der sich die kurdische Bevölkerung befinde, führe praxisgemäss nicht zur Anerkennung der Flüchtlingseigenschaft. Das SEM stelle nicht in Abrede, dass die Erlebnisse des Beschwerdeführers für ihn und seine Familie belastend gewesen sein könnten. Die geltend gemachten Nachteile gingen in ihrer Intensität nicht über die Nachteile hinaus, welche weite Teile der kurdisch-alevitischen Bevölkerung in der Türkei in ähnlicher Weise treffen könnten. Den Akten seien keine Hinweise zu entnehmen, dass die türkische Polizei ihn abgesehen von den ihm gestellten Fragen zu den Streitereien mit seinen Mitschülern behelligt habe. lm Falle zukünftiger Ausgrenzungen und Diskriminierungen stehe es ihm frei, sich an die türkische Polizei zu wenden oder den vorgesehenen Rechtsweg zu beschreiten. Aufgrund seiner Angaben sei davon auszugehen, dass die vorgebrachten Vorfälle lokaler Natur seien, weshalb auch eine Rückkehr an einen alternativen Aufenthaltsort innerhalb der Türkei in Frage käme. Aus den Angaben des Beschwerdeführers gehe nicht hervor, dass er ein exponiertes politisches Profil habe. Den Akten und seinen Angaben seien keine Hinweise dafür zu entnehmen, dass es wegen seines Einsatzes für die HDP zu Zwischenfällen mit den türkischen Behörden gekommen sei. Es bestehe keine beachtliche Wahrscheinlichkeit, dass sich seine Befürchtungen, wegen seines Engagements für die HDP verfolgt zu werden, künf-tig verwirklichen würden. Er sei bis anhin keinen flüchtlingsrechtlich relevanten Verfolgungsmassnahmen ausgesetzt gewesen und habe kein Profil, welches annehmen liesse, dass er für die türkischen Behörden von besonderem Interesse sei. Seine Furcht vor flüchtlingsrechtlich relevanter Verfolgung sei als nicht begründet einzustufen. Es seien keine Hinweise aktenkundig, welche erwarten liessen, dass er wegen seines bisherigen politischen Engagements und/oder familiären Umfelds mit beachtlicher Wahrscheinlichkeit und in absehbarer Zukunft von Reflexverfolgungsmassnahmen ernsthaften Ausmasses betroffen werden könnte. An dieser Einschätzung ändere auch die Konsultation der Asylakten seiner Verwandten und seines Vaters nichts.</w:t>
      </w:r>
    </w:p>
    <w:p>
      <w:r>
        <w:rPr>
          <w:b/>
        </w:rPr>
        <w:t>E. 4.2</w:t>
      </w:r>
    </w:p>
    <w:p>
      <w:r>
        <w:t>In der Beschwerde wird geltend gemacht, der Beschwerdeführer sei aufgrund des Haftbefehls und der staatlichen Verfolgung seines Vaters in der Türkei als Sohn beziehungsweise männlicher Verwandter seines Onkels verfolgt. Es bestehe die Wahrscheinlichkeit, dass er bei einer Rückkehr mit dem Geheimdienst und der Polizei Probleme haben werde. Als Kurde und Alevite sei er bereits Opfer von Diskriminierung und Ausgrenzung geworden. Wegen der politischen Verfolgung seines Vaters hätten sie mehrfach den Aufenthaltsort wechseln müssen. Die ganze Familie sei politisch sehr aktiv, was seinen Angehörigen viele Probleme bereitet habe.</w:t>
      </w:r>
    </w:p>
    <w:p>
      <w:r>
        <w:rPr>
          <w:b/>
        </w:rPr>
        <w:t>E. 4.3</w:t>
      </w:r>
    </w:p>
    <w:p>
      <w:r>
        <w:t>Das SEM führt in seiner Vernehmlassung aus, hinsichtlich der vom Beschwerdeführer geltend gemachten Reflexverfolgung aufgrund des «Haftbefehls» und der staatlichen Verfolgung seines Vaters sei auf die Vernehmlassung in Sachen D-3269/2024 vom 5. August 2024 zu verweisen. Nach Würdigung der im Beschwerdeverfahren seines Vaters eingereichten Dokumente komme das SEM zum Schluss, dass dieser bei einer Rückkehr in die Türkei nicht mit erheblicher Wahrscheinlichkeit und in absehbarer Zeit eine flüchtlingsrechtlich relevante Verfolgung zu befürchten habe. Die Befürchtungen des Beschwerdeführers, aufgrund seines Vaters von den türkischen Behörden verfolgt zu werden, seien als unbegründet zu qualifizieren.</w:t>
      </w:r>
    </w:p>
    <w:p>
      <w:r>
        <w:rPr>
          <w:b/>
        </w:rPr>
        <w:t>E. 4.4</w:t>
      </w:r>
    </w:p>
    <w:p>
      <w:r>
        <w:t>In der Replik wird auf die Beschwerde und die Replik im Verfahren des Vaters des Beschwerdeführers verwiesen und daran festgehalten, dass der Beschwerdeführer aufgrund seines Vaters reflexverfolgt werde.</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5.2</w:t>
      </w:r>
    </w:p>
    <w:p>
      <w:r>
        <w:t>Der Beschwerdeführer wies in seiner Anhörung darauf hin, dass er als Angehöriger der kurdisch-alevitischen Gemeinschaft vor allem in der Mittelschule wiederholt benachteiligt und ausgegrenzt worden sei. Wenn bei Streitereien die Polizei gerufen worden sei, habe man ihn dafür verantwortlich gemacht. Die Lehrer hätten teilweise verlangt, dass er beten müsse, ansonsten man ihn schlechter benoten werde. Seine Erfahrungen dürften mitunter schmerzlich gewesen sein, Benachteiligungen, wie sie von ihm geschildert wurden, weisen jedoch nicht die notwendige Intensität auf, um als flüchtlingsrechtlich erheblich eingestuft zu werden. Das Bundesverwaltungsgericht stellt in seiner Rechtsprechung zudem sehr hohe Anforderungen an die Bejahung einer Kollektivverfolgung, die im Fall der Kurden und Aleviten - auch unter Berücksichtigung der aktuellen politischen Entwicklungen in der Türkei - nicht erfüllt sind (vgl. das Referenzurteil des BVGer E-4103/2024 vom 8. November 2024 E. 7.1 m.w.H.).</w:t>
      </w:r>
    </w:p>
    <w:p>
      <w:r>
        <w:rPr>
          <w:b/>
        </w:rPr>
        <w:t>E. 5.3</w:t>
      </w:r>
    </w:p>
    <w:p>
      <w:r>
        <w:t>Des Weiteren ist festzustellen, dass der Beschwerdeführer die Türkei nicht wegen der von ihm in der Vergangenheit erlittenen Benachteiligungen durch seine Mitschüler oder Lehrer verliess. Diese waren somit nicht kausal für seine Ausreise aus der Heimat. Der Entschluss zur Ausreise aus dem Heimatland wurde von seinem Vater gefasst, der ihn in die Schweiz mitnehmen wollte, weil er sich bislang um die gesundheitlichen Probleme des Beschwerdeführers gekümmert habe (vgl. SEM-act. (...)-13/10 F69). In der Anhörung sagte der Beschwerdeführer, er habe - ausser den Befragungen durch die Polizei, wenn diese wegen Streitereien zwischen Schülern gerufen worden sei - keine Probleme mit der Polizei gehabt (vgl. SEM-act. (...)-13/10 F66-F69).</w:t>
      </w:r>
    </w:p>
    <w:p>
      <w:r>
        <w:rPr>
          <w:b/>
        </w:rPr>
        <w:t>E. 5.4</w:t>
      </w:r>
    </w:p>
    <w:p>
      <w:r>
        <w:t>Schliesslich ergeben sich aus den Akten auch keine Hinweise darauf, dass der Beschwerdeführer bei einer Rückkehr in die Türkei asylrechtlich relevante Nachteile im Sinn einer Reflexverfolgung zu befürchten hätte. Er gab zwar an, dass auf seine Familie Druck ausgeübt worden sei, weil einige Verwandte die HDP unterstützt hätten. Andere hätten (auch) die PKK unterstützt und seien deshalb wegen Hilfeleistung und Unterstützung gesucht worden (vgl. SEM-act. (...)-13/10 F65). Mit Ausnahme der Benachteiligungen durch Mitschüler und Lehrer - die indessen keinen direkten Zusammenhang mit der politischen Einstellung seiner Verwandten hatten - konkretisierte er diesen Druck aber weder im erstinstanzlichen Verfahren noch im Rahmen des Beschwerdeverfahrens. Im Urteil des Bundesverwaltungsgerichts D-3269/2024 vom heutigen Tag wurde zudem befunden, dass der Vater des Beschwerdeführers kein geschärftes politisches Profil aufweist, aufgrund dessen zu befürchten wäre, er würde aufgrund der gegen ihn möglicherweise geführten Ermittlungen aus flüchtlingsrechtlich relevanten Gründen zu einer unbedingten Freiheitsstrafe verurteilt. Vor diesem Hintergrund und angesichts des unbedeutenden politischen Profils des Beschwerdeführers besteht kein Grund zur Annahme einer drohenden Reflexverfolgung im Fall seiner Rückkehr in den Heimatstaat.</w:t>
      </w:r>
    </w:p>
    <w:p>
      <w:r>
        <w:rPr>
          <w:b/>
        </w:rPr>
        <w:t>E. 5.5</w:t>
      </w:r>
    </w:p>
    <w:p>
      <w:r>
        <w:t>Insgesamt gesehen ergeben sich aus den Akten keine Anhaltspunkte dafür, dass der Beschwerdeführer bei einer Rückkehr in die Türkei aus asylrechtlich relevanten Gründen verfolgt würde. Es erübrigt sich, auf die weiteren Ausführungen in der Beschwerde und die eingereichten Beweismittel im Einzelnen einzugehen, da sie an der vorgenommenen Würdigung des Sachverhalts nichts zu ändern vermögen. Aufgrund des vorstehend Gesagten ergibt sich, dass das SEM zu Recht die Flüchtlingseigenschaft des Beschwerdeführers verneint und das Asylgesuch abgelehnt hat.</w:t>
      </w:r>
    </w:p>
    <w:p>
      <w:r>
        <w:rPr>
          <w:b/>
        </w:rPr>
        <w:t>E. 6.1</w:t>
      </w:r>
    </w:p>
    <w:p>
      <w:r>
        <w:t>Lehnt das SEM das Asylgesuch ab,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8.3.2</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Flüchtlingseigenschaft nicht. Der Beschwerdeführer war vor seiner Ausreise aus der Türkei keinen Übergriffen seitens der türkischen Sicherheitsbehörden oder Privatpersonen ausgesetzt, welche die Schwelle von Art. 3 EMRK oder Art. 1 FoK erreichen würden. Es bestehen keine überzeugenden Anhaltspunkte dafür, dass er, der vor dem Verlassen der Türkei keine Schwierigkeiten mit den heimatlichen Sicherheitsbehörden hatte, in Zukunft einer menschenrechtswidrigen Behandlung ausgesetzt wird. Auch die allgemeine Menschenrechtssituation in der Türkei lässt den Wegweisungsvollzug zum heutigen Zeitpunkt nicht als unzulässig erscheinen.</w:t>
      </w:r>
    </w:p>
    <w:p>
      <w:r>
        <w:rPr>
          <w:b/>
        </w:rPr>
        <w:t>E. 8.3.3</w:t>
      </w:r>
    </w:p>
    <w:p>
      <w:r>
        <w:t>Nach dem Gesagten ist der Vollzug der Wegweisung sowohl im Sinn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8.4.2</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rPr>
          <w:b/>
        </w:rPr>
        <w:t>E. 8.4.3</w:t>
      </w:r>
    </w:p>
    <w:p>
      <w:r>
        <w:t>Der Beschwerdeführer verfügt über eine gute schulische Ausbildung und erste Berufserfahrung in (...) (vgl. SEM-act. (...)-13/10 F39-F49). In seinem Heimatland hat er ein familiäres Beziehungs-netz (vgl. SEM-act. (...)-13/10 F28). Gemäss seinen Angaben lebte er vor seiner Ausreise die meiste Zeit in G._______, wo seine Mutter und seine ältere Schwester immer noch lebten. Vor seiner Ausreise aus der Türkei hielt er sich zusammen mit seinem Vater und seiner jüngeren Schwester während einiger Monate in B._______ (C._______) im Haus eines Onkels seines Vaters auf (vgl. SEM-act. (...)-13/10 F19-F26). Deshalb ist davon auszugehen, dass er zusammen mit seinem Vater und seiner Schwester nach seiner Rückkehr in die Türkei in G._______, wo seine Familie über eine eigene Wohnung verfügt (vgl. SEM-act. (...)-28/17 F14 [Anhörung seines Vaters]), oder zumindest vorübergehend bei Verwandten, die an einem anderen Ort leben, über eine gesicherte Wohnsituation verfügt und bei Bedarf auf deren Unterstützung zurückgreifen kann. Damit dürfte es ihm gelingen, sich eine wirtschaftliche Existenzgrundlage zu schaffen.</w:t>
      </w:r>
    </w:p>
    <w:p>
      <w:r>
        <w:rPr>
          <w:b/>
        </w:rPr>
        <w:t>E. 8.4.4</w:t>
      </w:r>
    </w:p>
    <w:p>
      <w:r>
        <w:t>Der Beschwerdeführer gab in der Anhörung auf die entsprechende Frage an, er leide seit seiner Kindheit unter (...). Eine Zeitlang sei es ihm besser gegangen, nach den Ereignissen in C._______ sei es wieder schlechter geworden. Er habe ein Medikament gewechselt und habe bis heute diese Krankheit. Weitere gesundheitliche Beschwerden habe er nicht (vgl. SEM-act. (...)-13/10 F11, F17). Gemäss der beim SEM abgegebenen Dokumentation war er zwischen 2009 und 2021 regelmässig in ärztlicher Behandlung. Nach dem Jahr 2021 sei er noch zu ärztlichen Kontrollen gegangen (vgl. SEM-act. (...)-13/10 F16, (...)-12/- ID-Nr. 001). Der Beschwerdeführer reichte im Rahmen der ihm obliegenden Mitwirkungspflicht keine weiteren ärztlichen Berichte ein, weshalb nicht davon auszugehen ist, sein Gesundheitszustand habe sich seit Beschwerdeeinreichung verschlechtert. Die von ihm geltend gemachten gesundheitlichen Probleme stehen einer Rückkehr in die Türkei nicht entgegen, da das dortige Gesundheitssystem insbesondere in den grösseren Städten europäischem Standard entspricht und er wegen seiner Erkrankung bereits in der Türkei regelmässig ärztliche Hilfe in Anspruch nahm (vgl. Urteile des BVGer D-6073/2025 vom 29. Januar 2026 E. 7.3.3, E-7524/2025 vom 8. Januar 2026 E. 8.3.3, D-3644/2022 vom 19. Dezember 2026 E. 9.3.3).</w:t>
      </w:r>
    </w:p>
    <w:p>
      <w:r>
        <w:rPr>
          <w:b/>
        </w:rPr>
        <w:t>E. 8.4.5</w:t>
      </w:r>
    </w:p>
    <w:p>
      <w:r>
        <w:t>Nach dem Gesagten erweist sich der Vollzug der Wegweisung des Beschwerdeführers nicht als unzumutbar.</w:t>
      </w:r>
    </w:p>
    <w:p>
      <w:r>
        <w:rPr>
          <w:b/>
        </w:rPr>
        <w:t>E. 8.5</w:t>
      </w:r>
    </w:p>
    <w:p>
      <w:r>
        <w:t>Schliesslich obliegt es dem Beschwerdeführer, sich bei der zuständigen Vertretung des Heimatstaats die für eine Rückkehr notwendigen Reisedokumente zu beschaffen (Art. 47 Abs. 1 AsylG; vgl. BVGE 2008/34 E. 12). Der Vollzug der Wegweisung ist als möglich zu bezeichnen (Art. 83 Abs. 2 AIG).</w:t>
      </w:r>
    </w:p>
    <w:p>
      <w:r>
        <w:rPr>
          <w:b/>
        </w:rPr>
        <w:t>E. 9</w:t>
      </w:r>
    </w:p>
    <w:p>
      <w:r>
        <w:t>Zusammenfassend ergibt sich, dass das SEM den Wegweisungsvollzug zu Recht als zulässig, zumutbar und möglich bezeichnet hat. Die Anordnung der vorläufigen Aufnahme fällt somit ausser Betracht (Art. 83 Abs. 1- 4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dem Beschwerdeführer aufzuerlegen (Art. 63 Abs. 1 VwVG). Da das Gesuch um Gewährung der unentgeltlichen Prozessführung mit Instruktionsverfügung vom 11. Juni 2024 gutgeheissen wurde und sich an den Voraussetzungen dazu nichts geändert hat, sind keine Verfahrenskosten zu erheben.</w:t>
      </w:r>
    </w:p>
    <w:p>
      <w:r>
        <w:rPr>
          <w:b/>
        </w:rPr>
        <w:t>E. 12.1</w:t>
      </w:r>
    </w:p>
    <w:p>
      <w:r>
        <w:t>Nachdem dem Beschwerdeführer die unentgeltliche Rechtsverbeiständung gewährt wurde, ist MLaw Sahithyan Thilipkumar ein amtliches Honorar auszurichten.</w:t>
      </w:r>
    </w:p>
    <w:p>
      <w:r>
        <w:rPr>
          <w:b/>
        </w:rPr>
        <w:t>E. 12.2</w:t>
      </w:r>
    </w:p>
    <w:p>
      <w:r>
        <w:t>Mit Instruktionsverfügung vom 11. Juni 2024 war darauf aufmerksam gemacht worden, dass bei amtlicher Vertretung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nur der notwendige Aufwand entschädigt wird (vgl. Art. 8 Abs. 2 VGKE).</w:t>
      </w:r>
    </w:p>
    <w:p>
      <w:r>
        <w:rPr>
          <w:b/>
        </w:rPr>
        <w:t>E. 12.3</w:t>
      </w:r>
    </w:p>
    <w:p>
      <w:r>
        <w:t>Der Rechtsvertreter übermittelte dem Bundesverwaltungsgericht am 5. September 2024 eine Honorarnote für den Aufwand beim Verfassen der Replik. Den zeitlichen Aufwand bezeichnete er mit insgesamt 45 Minuten (à Fr. 200.-), und es wurden Übersetzungskosten von Fr. 18.75 und Spesen von Fr. 7.30 ausgewiesen. Die Angaben zum zeitlichen Aufwand und den Auslagen erscheinen angemessen. Unter Hinweis auf die vorstehende Erwägung 12.2 ist der Stundenansatz indessen auf Fr. 150.- festzusetzen. Angesichts des Aufwands von 0,75 Stunden ergibt sich ein Honorar von Fr. 112.50. Die Auslagen für das Dolmetschen und die Spesen werden auf Fr. 26.05 festgelegt. Das durch das Bundesverwaltungsgericht auszurichtende amtliche Honorar beläuft sich demnach (inkl. Auslagen und Mehrwertsteuerzuschlag von Fr. 11.25) gerundet auf Fr. 150.-.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