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D-3270/2022 vom 19. Dezember 2025</w:t>
      </w:r>
    </w:p>
    <w:p>
      <w:r>
        <w:t>Bundesverwaltungsgericht, 2025-12-19, FR</w:t>
      </w:r>
    </w:p>
    <w:p>
      <w:r>
        <w:rPr>
          <w:b/>
        </w:rPr>
        <w:t xml:space="preserve">Quelle: </w:t>
      </w:r>
      <w:r>
        <w:t>https://mcp.opencaselaw.ch/entscheid/bvger_D-3270_2022</w:t>
      </w:r>
    </w:p>
    <w:p>
      <w:r>
        <w:t>FR: TAF D-3270/2022 du 19 décembre 2025</w:t>
      </w:r>
    </w:p>
    <w:p>
      <w:r>
        <w:t>IT: TAF D-3270/2022 del 19 dicembre 2025</w:t>
      </w:r>
    </w:p>
    <w:p>
      <w:pPr>
        <w:pStyle w:val="Heading2"/>
      </w:pPr>
      <w:r>
        <w:t>Regeste</w:t>
      </w:r>
    </w:p>
    <w:p>
      <w:r>
        <w:t>Asile (sans exécution du renvoi)</w:t>
      </w:r>
    </w:p>
    <w:p>
      <w:pPr>
        <w:pStyle w:val="Heading2"/>
      </w:pPr>
      <w:r>
        <w:t>Erwägungen</w:t>
      </w:r>
    </w:p>
    <w:p>
      <w:r>
        <w:rPr>
          <w:b/>
        </w:rPr>
        <w:t>E. 1</w:t>
      </w:r>
    </w:p>
    <w:p>
      <w:r>
        <w:t>D-3270/2022 Page 4</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Présenté dans la forme et le délai prescrits par la loi, le recours est recevable (art. 48 al. 1 et 52 al. 1 PA et art. 108 al. 2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(art. 62 al. 4 PA) ou par l'argumentation juridique développée dans la décision entreprise. Il peut ainsi admettre un recours pour un autre motif que ceux invoqués devant lui ou rejeter un recours en adoptant une argumentation différente de celle de l'autorité intimée (cf. ATAF 2007/41 consid. 2 ; MOOR/POLTIER, Droit administratif, vol. II, 3e éd., 2011, p. 820 s.).</w:t>
      </w:r>
    </w:p>
    <w:p>
      <w:r>
        <w:rPr>
          <w:b/>
        </w:rPr>
        <w:t>E. 3</w:t>
      </w:r>
    </w:p>
    <w:p>
      <w:r>
        <w:t>Dans des griefs d’ordre formel, qu’il convient d’examiner en premier lieu (cf. ATF 144 I 11 consid. 5.3 et jurisp. cit. ; ATAF 2019 VII/6 consid. 4.1 ; 2013/34 consid. 4.2 ; 2013/23 consid. 6.1.3), le recourant se prévaut d’une violation de son droit d’accès au dossier. Il reprend en outre l’ensemble des griefs formels soulevés dans le recours déposé par sa mère, B._______ (procédure D-3272/2022), reprochant au SEM de ne pas avoir procédé à une audition complémentaire de celle-ci et d’avoir omis d’intégrer, dans la motivation de sa décision, la reconnaissance du statut de réfugié de son frère aîné en F._______.</w:t>
      </w:r>
    </w:p>
    <w:p>
      <w:r>
        <w:rPr>
          <w:b/>
        </w:rPr>
        <w:t>E. 3.1</w:t>
      </w:r>
    </w:p>
    <w:p>
      <w:r>
        <w:t>Le droit d'être entendu, garanti par l'art. 29 al. 2 Cst. et concrétisé en procédure administrative aux art. 29 ss PA, comprend, pour le justiciable, le droit d'être informé et de s'exprimer sur les éléments pertinents avant</w:t>
      </w:r>
    </w:p>
    <w:p>
      <w:r>
        <w:t>D-3270/2022 Page 5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w:t>
      </w:r>
    </w:p>
    <w:p>
      <w:r>
        <w:t>D-3270/2022 Page 6</w:t>
      </w:r>
    </w:p>
    <w:p>
      <w:r>
        <w:rPr>
          <w:b/>
        </w:rPr>
        <w:t>E. 4.1</w:t>
      </w:r>
    </w:p>
    <w:p>
      <w:r>
        <w:t>En l’occurrence, le recourant reproche d’abord au SEM de ne pas lui avoir d’emblée donné accès à toutes les pièces du dossier ouvertes à consultation. Il appert toutefois que les pièces en question lui ont toutes été transmises conformément à l’ordonnance du Tribunal du 12 septembre 2022 et au courrier de l’intéressé du 19 octobre 2022, et qu’il a pu en prendre connaissance et présenter ses arguments sur cette base, de sorte que cette informalité n'a pas porté à conséquence.</w:t>
      </w:r>
    </w:p>
    <w:p>
      <w:r>
        <w:rPr>
          <w:b/>
        </w:rPr>
        <w:t>E. 4.2</w:t>
      </w:r>
    </w:p>
    <w:p>
      <w:r>
        <w:t>Cela étant, si le droit d’être entendu du recourant n’a pas été violé sur le point précité, le Tribunal estime que plusieurs éléments essentiels pour l’examen de la demande d’asile de l’intéressé auraient dû faire l’objet d’une instruction et d’une motivation plus approfondies. En effet, dans son arrêt rendu ce jour dans la cause de la mère du recourant, B._______ (procédure D-3272/2022), le Tribunal a retenu que le SEM avait violé le droit d’être entendu de la prénommée et avait procédé à un établissement incomplet de l'état de fait pertinent. L’existence d’un risque actuel de persécution ne pouvait être examinée en l’état du dossier, de sorte que la décision y relative a été annulée et renvoyée à l’autorité inférieure. Force est de constater que la même conclusion s’impose en l’espèce, dès lors que les motifs d’asile invoqués par le recourant et sa mère sont entièrement liés, l’intéressé se prévalant d’un risque de persécution réfléchie en lien avec les persécutions alléguées par celle-ci.</w:t>
      </w:r>
    </w:p>
    <w:p>
      <w:r>
        <w:rPr>
          <w:b/>
        </w:rPr>
        <w:t>E. 5</w:t>
      </w:r>
    </w:p>
    <w:p>
      <w:r>
        <w:t>Il y a donc lieu d'admettre le présent recours, d'annuler la décision du SEM et de lui renvoyer la cause pour nouvelle prise de décision (art. 61 al. 1 PA). Dans ce cadre-là, il appartiendra à l’autorité de première instance de tenir compte de l’arrêt rendu par le Tribunal dans la procédure D-3272/2022.</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6.2</w:t>
      </w:r>
    </w:p>
    <w:p>
      <w:r>
        <w:t>En conséquence, il y a lieu d'allouer au recourant des dépens pour les frais nécessaires causés par le litige (cf. art. 64 al. 1 PA et art. 7 al. 1 du</w:t>
      </w:r>
    </w:p>
    <w:p>
      <w:r>
        <w:t>D-3270/2022 Page 7 règlement du 21 février 2008 concernant les frais, dépens et indemnités fixés par le Tribunal administratif fédéral [FITAF, RS 173.320.2]).</w:t>
      </w:r>
    </w:p>
    <w:p>
      <w:r>
        <w:rPr>
          <w:b/>
        </w:rPr>
        <w:t>E. 6.3</w:t>
      </w:r>
    </w:p>
    <w:p>
      <w:r>
        <w:t>En l’espèce, en l’absence d’un décompte de prestations, l’indemnité est fixée sur la base du dossier (art. 14 al. 1 et 2 FITAF) et est arrêtée ex aequo et bono à un montant de 600 francs. Ce montant se justifie, dès lors que le recours de l’intéressé reprend essentiellement celui déposé par le même mandataire dans la cause D-3272/2022 et que les écritures ultérieures sont identiques à celles figurant dans cette autre affaire, à l’exception des courriers des 29 septembre et 19 octobre 2022.</w:t>
      </w:r>
    </w:p>
    <w:p>
      <w:r>
        <w:t>(dispositif page suivante)</w:t>
      </w:r>
    </w:p>
    <w:p>
      <w:r>
        <w:t>D-3270/2022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