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D-3270/2009 vom 28. Juni 2010</w:t>
      </w:r>
    </w:p>
    <w:p>
      <w:r>
        <w:t>Bundesverwaltungsgericht, 2010-06-28, DE</w:t>
      </w:r>
    </w:p>
    <w:p>
      <w:r>
        <w:rPr>
          <w:b/>
        </w:rPr>
        <w:t xml:space="preserve">Quelle: </w:t>
      </w:r>
      <w:r>
        <w:t>https://mcp.opencaselaw.ch/entscheid/bvger_D-3270_2009</w:t>
      </w:r>
    </w:p>
    <w:p>
      <w:r>
        <w:t>FR: TAF D-3270/2009 du 28 juin 2010</w:t>
      </w:r>
    </w:p>
    <w:p>
      <w:r>
        <w:t>IT: TAF D-3270/2009 del 28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4.3</w:t>
      </w:r>
    </w:p>
    <w:p>
      <w:r>
        <w:t>Das BFM lehnte das Asylgesuch der Beschwerdeführenden im Wesentlichen mit der Begründung ab, dass im vorliegenden Fall vom Vorhandensein eines adäquaten Schutzes durch den Heimatstaat auszugehen sei und somit die geltend gemachten Übergriffe durch Dritte in casu nicht asylrelevant seien.</w:t>
      </w:r>
    </w:p>
    <w:p>
      <w:r>
        <w:rPr>
          <w:b/>
        </w:rPr>
        <w:t>E. 4.4</w:t>
      </w:r>
    </w:p>
    <w:p>
      <w:r>
        <w:t>Die Anerkennung der Flüchtlingseigenschaft setzt voraus, dass die betroffene Person einer landesweiten Verfolgung ausgesetzt ist und sich nicht in einem anderen Teil ihres Heimatstaates - oder auch in einem anderen, für sie zuständigen Staat - in Schutz bringen kann. Nach dem Grundsatz der Subsidiarität asylrechtlichen Schutzes (vgl. dazu EMARK 2006 Nr. 18 E. 10.1 S. 201 sowie EMARK 2000 Nr. 15 E. 12a S. 127 f.) ist eine Schutzgewährung durch ein Asylland nämlich dann nicht (oder nicht mehr) erforderlich, wenn ein anderer Staat, insbesondere der Heimatstaat, zur Schutzgewährung verpflichtet ist. Damit schliesst sich eine Asylgewährung durch die Schweiz im Regelfall aus, wenn eine asylsuchende Person über eine doppelte Staatsangehörigkeit verfügt. Hat sie in einem ihrer beiden Heimatstaaten Verfolgung erlitten, kann sie sich aber in ihren anderen Heimatstaat begeben, wo ihr keine Verfolgung droht, so bedarf es keiner asylrechtlichen Schutzgewährung durch die Schweiz (vgl. Urteil des Bundesverwaltungsgerichts D-5819/2006 vom 12. November 2009 E. 5.4).</w:t>
      </w:r>
    </w:p>
    <w:p>
      <w:r>
        <w:rPr>
          <w:b/>
        </w:rPr>
        <w:t>E. 4.5</w:t>
      </w:r>
    </w:p>
    <w:p>
      <w:r>
        <w:t>Die Beschwerdeführenden bezeichnen sich selbst als serbische Staatsangehörige (vgl. A1, S. 1 und A2). Sie reichten je eine serbische Identitätskarte zu den Akten, ausgestellt am 6. Dezember 2006 beziehungsweise am 23. November 2006 (vgl. A1, S. 3 sowie A2, S. 3). Beide gaben überdies an, nie einen serbischen Reisepass, einen UNMIK-Ausweis oder einen kosovarischen Pass gehabt oder beantragt zu haben (vgl. A1 und A2 jeweils S. 3). Die Republik Kosovo, deren Staatsangehörigkeit die Beschwerdeführenden ebenfalls besitzen dürften, aberkennt beziehungsweise verweigert Angehörigen anderer Staaten die kosovarische Staatsangehörigkeit nicht. Serbien anerkennt die Republik Kosovo nicht als Staat und betrachtet damit die Staatsangehörigen des Kosovos grundsätzlich als serbische Staatsangehörige. Die Beschwerdeführenden können sich demnach nach Serbien begeben, wo sie aufgrund der Niederlassungsfreiheit Wohnsitz nehmen können und ihnen allenfalls auch neue serbische Identitätspapiere ausgestellt würden (vgl. das zur Publikation vorgesehene Grundsatzurteil des Bundesverwaltungsgerichts D-7561/2008 vom 15. April 2010).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den Beschwerdeführenden in Serbien asylrechtlich relevante Verfolgung droht, weshalb sie des Schutzes durch die Schweiz nicht bedürfen.</w:t>
      </w:r>
    </w:p>
    <w:p>
      <w:r>
        <w:rPr>
          <w:b/>
        </w:rPr>
        <w:t>E. 4.6</w:t>
      </w:r>
    </w:p>
    <w:p>
      <w:r>
        <w:t>Das Bundesverwaltungsgericht kommt zum Schluss, dass die Ausführungen in der Beschwerde vom 18. Mai 2009 nicht geeignet sind, die Erwägungen der Vorinstanz im Asyl- und Flüchtlingspunkt zu entkräften. Bei dieser Sachlage erübrigt es sich, auf die weiteren diesbezüglichen Ausführungen und die zahlreich eingereichten Beweismittel in der Beschwerde näher einzugehen, zumal sie nicht zu einer anderen Beurteilung zu führen vermögen. Es ergibt sich, dass die Beschwerdeführenden weder Gründe nach Art. 3 AsylG nachweisen oder im Sinne von Art. 7 AsylG glaubhaft machen konnten. Demzufolge hat das BFM zu Recht die Flüchtlingseigenschaft der Beschwerdeführenden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Saadi gegen Italien, Urteil vom 28. Februar 2008, Beschwerde Nr. 37201/06, §§ 124-127,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die Beschwerdeführenden in Serbien in eine existenzbedrohende Situation geraten könnten. Beim Beschwerdeführer (A._______) handelt es sich um einen jungen Mann mit einer überdurchschnittlichen schulischen Ausbildung (Mittelschulabschluss) und einiger Berufserfahrung (vgl. A1, S. 2), der in der Lage sein sollte, in Serbien für sich und seine Familie eine Existenz aufzubauen. Auch die Beschwerdeführerin (C._______) ist jung, verfügt über eine solide Schulbildung (Grundschulabschluss) und hat zuletzt als Hausfrau gearbeitet (vgl. A2, S. 2). Ihr ist es zuzumuten, ihren Mann bei der Bestreitung des Lebensunterhaltes für ihre Familie zu unterstützen. Zudem sind die Beschwerdeführenden serbischer Muttersprache (vgl. A1 und A2 jeweils S. 2) und es ist davon auszugehen, dass sie auch ihre Tochter in dieser Sprache auf- beziehungsweise erziehen. Die Beschwerdeführenden gehören in Serbien keiner Minderheitsethnie an, weshalb davon auszugehen ist, dass sie als Angehörige der serbischen Ethnie nach allfälligen Schwierigkeiten in der Anfangsphase in der Lage sein sollten, sich in Serbien sozial zu integrieren und Zugang zum Wohnungs- und Arbeitsmarkt zu erhalten, auch wenn für sie als Neuzuzüger die Bedingungen für den Aufbau einer wirtschaftlichen und sozialen Existenz unbestrittenermassen nicht leicht sein wird. Da die Beschwerdeführenden im Kosovo zweifelsfrei registriert worden sind, stehen einer Anmeldung in Serbien jedoch keine administrativen Hindernisse entgegen. Sie werden nach ihrer Anmeldung unter anderem Zugang zu finanzieller und medizinischer Unterstützung (falls überhaupt notwendig) haben. Zudem können sie auch mit der finanziellen Unterstützung der in Kosovo lebenden Eltern des Beschwerdeführers rechnen, besitzen diese doch ein Haus und verschiedene Grundstücke (vgl. A1, S. 2). Sodann dürfte ihnen auch das Rückkehrhilfeprogramm der Schweiz den Aufbau einer Existenzgrundlage in Serbien ebenfalls erleichtern. Überdies sind aus den Akten keine gesundheitlichen Probleme der Beschwerdeführenden oder ihrer gemeinsamen Tochter B._______ zu entnehmen. Schliesslich sollte auch die Integration ihrer etwas mehr als drei Jahre alten Tochter in Serbien möglich sein, zumal diese sich aufgrund ihres sehr jungen Alters noch in einer starken Abhängigkeit zu ihren Eltern befindet, noch nicht in der Schweiz eingeschult worden ist und deshalb nicht aus einer soziokulturellen Umgebung herausgerissen wird, in der sie namentlich durch einen langjährigen Schulbesuch in massgebender Art geprägt worden wäre. Der Vollzug der Wegweisung nach Serbien ist somit aufgrund des Gesagten auch unter individuellen Gesichtspunkten nicht als unzumutbar zu beurteilen.</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den Beschwerdeführenden aufzuerlegen (Art. 63 Abs. 1 und 5 VwVG). Da die Rechtsbegehren der Beschwerdeführenden als nicht aussichtslos zu erachten waren, hiess der Instruktionsrichter des Bundesverwaltungsgerichts mit Verfügung vom 27. Mai 2009 das Gesuch der bedürftigen Beschwerdeführenden um Gewährung der unentgeltlichen Rechtspflege gut. Es sind demnach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