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D-3261/2016 vom 24. September 2018</w:t>
      </w:r>
    </w:p>
    <w:p>
      <w:r>
        <w:t>Bundesverwaltungsgericht, 2018-09-24, DE</w:t>
      </w:r>
    </w:p>
    <w:p>
      <w:r>
        <w:rPr>
          <w:b/>
        </w:rPr>
        <w:t xml:space="preserve">Quelle: </w:t>
      </w:r>
      <w:r>
        <w:t>https://mcp.opencaselaw.ch/entscheid/bvger_D-3261_2016</w:t>
      </w:r>
    </w:p>
    <w:p>
      <w:r>
        <w:t>FR: TAF D-3261/2016 du 24 septembre 2018</w:t>
      </w:r>
    </w:p>
    <w:p>
      <w:r>
        <w:t>IT: TAF D-3261/2016 del 24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dazu ausführlich BVGE 2015/3 E. 6.5.1 m.w.H.).</w:t>
      </w:r>
    </w:p>
    <w:p>
      <w:r>
        <w:rPr>
          <w:b/>
        </w:rPr>
        <w:t>E. 3.3</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Für das erstinstanzliche Asylverfahren bedeutet dies mithin, dass das SEM zur richtigen und vollständigen Ermittlung und Feststellung des rechtserheblichen Sachverhalts verpflichtet ist und auch nach allen Elementen zu forschen hat, die zugunsten der asylsuchenden Person sprechen.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tatbestandlichen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w:t>
      </w:r>
    </w:p>
    <w:p>
      <w:r>
        <w:rPr>
          <w:b/>
        </w:rPr>
        <w:t>E. 4.1</w:t>
      </w:r>
    </w:p>
    <w:p>
      <w:r>
        <w:t>Der angefochtene Entscheid des SEM wird den genannten Kriterien nicht in der erforderlichen Weise gerecht. Der Beschwerdeführer rügt die aus seiner Sicht mangelhafte Aktenführung durch das SEM. Dieser Einwand ist nur bedingt zutreffend. Es stimmt zwar, dass die Nummerierung bei der Auflistung in den jeweiligen Beweismittelverzeichnissen nicht fortlaufend ist. Die Vorinstanz gab aber immer an, um welches Beweismittel es sich handle, und hielt auch den Zeitpunkt der Einreichung fest (so auch bei den beiden anlässlich der Anhörung präsentierten Beweismitteln; vgl. A 39). Allein wegen der nicht fortlaufenden Nummerierung kann mithin noch nicht auf eine mangelhafte Aktenführung geschlossen werden. Anzufügen ist, dass das Beweismittelverzeichnis A 13/1 erst aufgrund von zwei Eingaben der vormaligen Rechtsvertretung und nicht schon bei der Befragung zur Person erstellt wurde. Zu beanstanden ist hingegen die Tatsache, dass das Beweismittelverzeichnis A 13/1 die mit der Eingabe vom 20. März 2014 übermittelten enthält, diejenigen vom 9. April 2014 aber in einem separaten und insbesondere nicht paginierten Umschlag deponiert wurden und entsprechend nicht im Aktenverzeichnis erscheinen. Der Umstand, wonach das erste Beweismittelverzeichnis mit A 13/1 (und nicht allenfalls A 13/2 im Hinblick auf den zweiten Umschlag) paginiert wurde, erschwert die Orientierung zusätzlich. Hinzu kommt, dass das Dokument 16 auf dem nicht paginierten Beweismittelumschlag falsch bezeichnet wurde. Es handelt sich nicht um die Übersetzung des in der vorstehenden Zeile aufgeführten Affidavits, sondern um die Kopie eines Bestätigungsschreibens. Letztlich kann aber die Frage der Relevanz gewisser Mängel bei der Aktenführung vorliegend offen gelassen werden.</w:t>
      </w:r>
    </w:p>
    <w:p>
      <w:r>
        <w:rPr>
          <w:b/>
        </w:rPr>
        <w:t>E. 4.2</w:t>
      </w:r>
    </w:p>
    <w:p>
      <w:r>
        <w:t>So ist insbesondere die mangelhafte Würdigung der eingereichten Beweismittel durch das SEM zu beanstanden. Die Vorinstanz hält fest, es seien diverse Beweismittel eingegangen. Auf deren Inhalt werde - soweit für den Entscheid wesentlich - in den nachfolgenden Erwägungen eingegangen. In diesen wird dann ausgeführt, als Beweismittel eingereichte Dokumente würden keiner materiellen Prüfung unterzogen, wenn sie erfahrungsgemäss leicht käuflich seien, beziehungsweise wenn unterschiedliche formale und inhaltliche Kriterien bei der Ausstellung eine schlüssige Überprüfung des Dokuments verunmöglichen würden. Abgesehen davon, dass nicht klar wird, was mit dem letzten Halbsatz genau gemeint ist, verkennt das SEM mit dieser Pauschalisierung seine Pflicht zur ordnungsgemässen Prüfung der Beweismittel, wenn wie vorliegend eine Vielzahl von Dokumenten (darunter nebst Zeitungsartikeln namentlich auch Polizeiakten), welche jedenfalls nicht a priori beweisuntauglich erscheinen, für die geltend gemachte Verfolgung zu den Akten gegeben wurden. Zudem liegen nicht nur Kopien, sondern auch Originale vor. Die erneut pauschale Erwägung, die eingereichten Dokumente ohne beziehungsweise kaum mit Sicherheitsmerkmalen könnten im Heimatland ohne weiteres unrechtmässig erworben werden, weshalb sich eine eingehende Würdigung auch in Anbetracht der unglaubhaften Vorbringen erübrige, wird der Pflicht zur Feststellung des vollständigen und richtigen rechtserheblichen Sachverhalts klarerweise wiederum nicht gerecht. Vielmehr wäre die Vorinstanz gehalten gewesen, namentlich die Polizeiakten und auch die Zeitungsartikel detailliert zu würdigen und mit nachvollziehbarer sowie ausführlicherer Begründung im Einzelnen anzugeben, weshalb diese aus ihrer Sicht vorliegend nicht beweistauglich seien. In der Vernehmlassung vom 15. Juni 2018, in deren Rahmen die Vorinstanz aufgefordert wurde, sich auch zu den Rügen des Beschwerdeführers betreffend Beweismitteln zu äussern, bringt sie insbesondere vor, es sei kein einziges zur Widerlegung der geltend gemachten Vorbringen "genutzt" worden. Diese Argumentation ist aber offensichtlich unhaltbar, da es bei der Beweiswürdigung ja nicht darum gehen kann, nur solche Beweismittel, die gegen die Glaubhaftigkeit des Vorgebrachten sprechen, im Entscheid zu erwähnen, und solche, welche unter Umständen das geltend Gemachte bestätigen würden, zu ignorieren. Zudem unterliess es das SEM, den erwähnten Antrag des Beschwerdeführers, von ihm eingereichte und mithin bekannte Akten zu edieren, zu behandeln.</w:t>
      </w:r>
    </w:p>
    <w:p>
      <w:r>
        <w:rPr>
          <w:b/>
        </w:rPr>
        <w:t>E. 4.3</w:t>
      </w:r>
    </w:p>
    <w:p>
      <w:r>
        <w:t>Bei der Prüfung der Glaubhaftigkeit der Vorbingen im angefochtenen Entscheid fällt sodann auf, dass das SEM nur Elemente berücksichtigt, die aus seiner Sicht gegen den Wahrheitsgehalt des Vorgebrachten sprechen. Dass gewisse Vorbringen gemäss Aktenlage durchaus Realkennzeichen und Substanz aufweisen, wird nicht erwähnt. Da aber ohnehin eine vollumfängliche Kassation insbesondere wegen mangelhafter Beweiswürdigung ergeht, kann davon abgesehen werden, allfällige weitere Gehörsverletzungen wie insbesondere die Verwendung eines falschen Massstabs durch das SEM bei der entsprechenden Prüfung von Aussagen vertieft zu analysieren. Ein Eingehen auf weitere Beschwerderügen und Anträge erübrigt sich ebenfalls.</w:t>
      </w:r>
    </w:p>
    <w:p>
      <w:r>
        <w:rPr>
          <w:b/>
        </w:rPr>
        <w:t>E. 4.4</w:t>
      </w:r>
    </w:p>
    <w:p>
      <w:r>
        <w:t>Zusammenfassend hat das SEM den rechtserheblichen Sachverhalt nicht hinreichend abgeklärt respektive festgestellt und die Begründungspflicht verletzt. Der angefochtene Entscheid ist unter Missachtung wesentlicher Gehörsansprüche des Beschwerdeführers zustande gekommen.</w:t>
      </w:r>
    </w:p>
    <w:p>
      <w:r>
        <w:rPr>
          <w:b/>
        </w:rPr>
        <w:t>E. 4.5</w:t>
      </w:r>
    </w:p>
    <w:p>
      <w:r>
        <w:t>Eine Verletzung des rechtlichen Gehörs führt grundsätzlich - das heisst ungeachtet der materiellen Auswirkungen - zur Aufhebung des daraufhin ergangenen Entscheides. Die Heilung einer Gehörsverletzung aus prozessökonomischen Gründen auf Beschwerdeebene kommt vorliegend - unbesehen der Kognitionsbeschränkung der Beschwerdeinstanz - auch deshalb nicht in Betracht, weil das SEM im Rahmen des Schriftenwechsels kaum respektive in inadäquater Weise auf relevante und zutreffende Beschwerderügen betreffend Beweiswürdigung eingegangen ist.</w:t>
      </w:r>
    </w:p>
    <w:p>
      <w:r>
        <w:rPr>
          <w:b/>
        </w:rPr>
        <w:t>E. 5</w:t>
      </w:r>
    </w:p>
    <w:p>
      <w:r>
        <w:t>Die angefochtene Verfügung ist deshalb aufzuheben und die Sache im Sinne der Erwägungen und in Gutheissung des Kassationsantrags an die Vorinstanz zurückzuweisen. Das SEM ist gehalten, gestützt auf den vollständig festgestellten rechtserheblichen Sachverhalt einen neuen Entscheid mit rechtsgenüglicher Begründung zu fällen. Bei dieser Sachlage kann mangels Relevanz davon abgesehen werden, auf weitere Beschwerdevorbringen und -anträge einzugehen.</w:t>
      </w:r>
    </w:p>
    <w:p>
      <w:r>
        <w:rPr>
          <w:b/>
        </w:rPr>
        <w:t>E. 6.1</w:t>
      </w:r>
    </w:p>
    <w:p>
      <w:r>
        <w:t>Bei diesem Ausgang des Verfahrens sind keine Kosten zu erheben (Art. 63 Abs. 1 und 2 VwVG).</w:t>
      </w:r>
    </w:p>
    <w:p>
      <w:r>
        <w:rPr>
          <w:b/>
        </w:rPr>
        <w:t>E. 6.2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werden kann (Art. 14 Abs. 2 in fine VGKE). Entschädigungspflichtig ist wie erwähnt nur der notwendige Aufwand, weshalb es zu berücksichtigen gilt, dass die Beschwerdeeingabe Ausführungen zur allgemeinen Lage in Sri Lanka, welche sich auch in den Eingaben des Rechtsvertreters in anderen Beschwerdeverfahren finden, enthält. Gestützt auf die in Betracht zu ziehenden Bemessungsfaktoren (Art. 9-13 VGKE) ist das SEM anzuweisen, dem Beschwerdeführer eine Parteientschädigung in der Höhe von Fr. 2000.-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