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D-3257/2014 vom 13. März 2015</w:t>
      </w:r>
    </w:p>
    <w:p>
      <w:r>
        <w:t>Bundesverwaltungsgericht, 2015-03-13, DE</w:t>
      </w:r>
    </w:p>
    <w:p>
      <w:r>
        <w:rPr>
          <w:b/>
        </w:rPr>
        <w:t xml:space="preserve">Quelle: </w:t>
      </w:r>
      <w:r>
        <w:t>https://mcp.opencaselaw.ch/entscheid/bvger_D-3257_2014</w:t>
      </w:r>
    </w:p>
    <w:p>
      <w:r>
        <w:t>FR: TAF D-3257/2014 du 13 mars 2015</w:t>
      </w:r>
    </w:p>
    <w:p>
      <w:r>
        <w:t>IT: TAF D-3257/2014 del 13 marzo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(neu: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vorliegende Urteil ergeht gestützt auf die Übergangsbestimmung zur Änderung des Asylgesetzes vom 28. September 2012 (in Kraft getreten am 29. September 2012; AS 2012 5359), wonach für Asylgesuche, die im Ausland vor dem Inkrafttreten der Änderung vom 28. September 2012 gestellt worden sind, die Art. 12, 19, 20, 41, 52 und 68 AsylG in der bisherigen Fassung Geltung haben. Nachfolgend wird deshalb auf die genannten Normen des AsylG und die entsprechenden Ausführungsbestimmungen in dieser bisherigen Fassung verwiesen.</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(vgl. Art. 105 AsylG; Art. 48 Abs. 1 VwVG). Die Beschwerde ist frist- und schliesslich auch formgerecht eingereicht (vgl. 108 Abs. 1 AsylG; Art. 52 Abs. 1 VwVG). Auf die Beschwerde ist einzutreten.</w:t>
      </w:r>
    </w:p>
    <w:p>
      <w:r>
        <w:rPr>
          <w:b/>
        </w:rPr>
        <w:t>E. 2</w:t>
      </w:r>
    </w:p>
    <w:p>
      <w:r>
        <w:t>Die Kognition des Bundesverwaltungsgerichts sowie die Rügemöglichkeiten richten sich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Ein Asylgesuch kann gemäss aArt. 19 Abs. 1 AsylG im Ausland bei einer schweizerischen Vertretung gestellt werden. Die Vertretung führt mit der asylsuchenden Person in der Regel eine Befragung durch (aArt. 10 Abs. 1 der Asylverordnung 1 vom 11. August 1999 über Verfahrensfragen [AsylV 1, SR 142.311]).</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Wer um Asyl nachsucht, muss die Flüchtlingseigenschaft nachweisen oder zumindest glaubhaft machen (Art. 7 Abs. 1 AsylG). Das BFM (neu: SEM) kann ein im Ausland gestelltes Asylgesuch ablehnen, wenn es der asylsuchenden Person zugemutet werden kann, sich in einem anderen Staat um Aufnahme zu bemühen (aArt. 52 Abs. 2 AsylG).</w:t>
      </w:r>
    </w:p>
    <w:p>
      <w:r>
        <w:rPr>
          <w:b/>
        </w:rPr>
        <w:t>E. 5.2</w:t>
      </w:r>
    </w:p>
    <w:p>
      <w:r>
        <w:t>Nach aArt. 20 Abs. 2 AsylG bewilligt das Bundesamt einer asylsuchenden Person die Einreise in die Schweiz zur Abklärung des Sachverhaltes, wenn ihr nicht zugemutet werden kann, im Wohnsitz- oder Aufenthaltsstaat zu bleiben oder in ein anderes Land auszureisen. Bei diesem Entscheid rechtfertigt es sich, die Voraussetzungen restriktive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Ausschlaggebend für die Erteilung der Einreisebewilligung ist dabei die Schutzbedürftigkeit der betroffenen Personen, mithin die Prüfung der Frage, ob eine Gefährdung im Sinne von Art. 3 AsylG glaubhaft gemacht wurde und ob der Verbleib am Aufenthaltsort für die Dauer der Sachverhaltsabklärung zugemutet wer-den kann (vgl. BVGE 2011/10 E. 3.3 m.w.H.).</w:t>
      </w:r>
    </w:p>
    <w:p>
      <w:r>
        <w:rPr>
          <w:b/>
        </w:rPr>
        <w:t>E. 6.1</w:t>
      </w:r>
    </w:p>
    <w:p>
      <w:r>
        <w:t>Der Entscheid des BFM ist zu stützen. Um Wiederholungen zu vermeiden, kann auf die zutreffenden Erwägungen in der angefochtenen Verfügung verwiesen werden (vgl. vorstehend Bst. C). Die Beschwerde vermag der Begründung derselben nichts Stichhaltiges entgegenzuhalten. Das Bundesverwaltungsgericht beschränkt sich daher auf die nachfolgenden Ausführungen.</w:t>
      </w:r>
    </w:p>
    <w:p>
      <w:r>
        <w:rPr>
          <w:b/>
        </w:rPr>
        <w:t>E. 6.2</w:t>
      </w:r>
    </w:p>
    <w:p>
      <w:r>
        <w:t>Das auf Beschwerdeebene vorgetragene Vorbringen, es sei während der Befragung (vermutungsweise aufgrund eines Missverständnisses) nicht zur Sprache gekommen, dass er bereits im Jahr 1997 versucht habe, nach Kenia zu gelangen, zu Beginn des Jahres 1998 nach Kenia in die Stadt Nairobi gereist sei, sich dort bis 2006 aufgehalten habe und von Kenia nach Somalia deportiert worden sei, führt nicht zu einem anders lautenden Entscheid. Zwar kann ihm dahingehend beigestimmt werden, dass er mit Schreiben vom 23. März 2011 eine Kopie seines Ausländerausweises mit Gültigkeit für die Jahre 2006 bis 2008 eingereicht und in seinem Schreiben vom 2. April 2012 übereinstimmend erwähnt hatte, in Kenia über einen Ausländerausweis mit Gültigkeit für dieselbe Periode verfügt zu haben, diese Information indessen durch die interviewende Person anlässlich der Befragung nicht aufgegriffen wurde. Doch in Anbetracht, dass er anlässlich der Befragung sogar explizit aufgefordert wurde, sämtliche Orte, an denen er je wohnhaft gewesen sei, mit entsprechenden Zeitangaben zu nennen (Akte der Vorinstanz, A5/10 Ziff. A.5), gilt es festzuhalten, dass ihm Gelegenheit zur vollständigen Darlegung des Sachverhalts gegeben wurde. Vielmehr ist es ihm selbst zuzuschreiben, dass seine Aussagen anlässlich der Befragung im Widerspruch zu seinen Angaben in seinen Schreiben stehen. Ausdrücklich gab er nämlich zu Protokoll, er habe seit seiner Geburt bis ins Jahr 2009 in Mogadischu gewohnt und sei dann nach Nairobi gegangen (A5/10 Ziff. A.5 ["Since I was born until 2009 I lived in Mogadishu and then I came to Nairobi."]). Da er die Rückübersetzung der Befragung schriftlich genehmigte, muss er sich den Widerspruch entgegen halten lassen. Unbesehen davon ist jedoch festzustellen, dass es dem Beschwerdeführer nicht gelungen ist, eine asylrelevante Verfolgung im Sinne von Art. 3 AslyG in Somalia geltend zu machen. Damit erübrigt sich eine Prüfung der weiteren Voraussetzungen der Erteilung einer Einreisebewilligung im asylrechtlichen Auslandverfahren (Prüfung der Zumutbarkeit im Drittstaat; vgl. Urteil des Bundesverwaltungsgerichts E-6893/2011 vom 6. Juni 2012 E. 6.4).</w:t>
      </w:r>
    </w:p>
    <w:p>
      <w:r>
        <w:rPr>
          <w:b/>
        </w:rPr>
        <w:t>E. 6.3</w:t>
      </w:r>
    </w:p>
    <w:p>
      <w:r>
        <w:t>Das Gesuch um Bewilligung der Einreise zur Durchführung eines Asylverfahrens und das Asylgesuch aus dem Ausland wurden von der Vor­instanz zu Recht abgelehnt.</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wären die Kosten dem Beschwerdeführer aufzuerlegen (Art. 63 Abs. 1 und Abs. 5 VwVG). Aus verwaltungsökonomischen Gründen ist indessen in Anwendung von Art. 6 Bst. b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