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D-3251/2025 vom 6. Oktober 2025</w:t>
      </w:r>
    </w:p>
    <w:p>
      <w:r>
        <w:t>Bundesverwaltungsgericht, 2025-10-06, DE</w:t>
      </w:r>
    </w:p>
    <w:p>
      <w:r>
        <w:rPr>
          <w:b/>
        </w:rPr>
        <w:t xml:space="preserve">Quelle: </w:t>
      </w:r>
      <w:r>
        <w:t>https://mcp.opencaselaw.ch/entscheid/bvger_D-3251_2025</w:t>
      </w:r>
    </w:p>
    <w:p>
      <w:r>
        <w:t>FR: TAF D-3251/2025 du 6 octobre 2025</w:t>
      </w:r>
    </w:p>
    <w:p>
      <w:r>
        <w:t>IT: TAF D-3251/2025 del 6 ottobre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Beschwerdeführerin ist als Verfügungsadressatin zur Einreichung der Beschwerde legitimiert (Art. 48 VwVG). Auf die frist- und formgerecht eingereichte Beschwerde ist nach fristgerechter Leistung des Kostenvorschusses einzutreten (Art. 108 Abs. 2 AsylG und Art. 52 Abs. 1 VwVG).</w:t>
      </w:r>
    </w:p>
    <w:p>
      <w:r>
        <w:rPr>
          <w:b/>
        </w:rPr>
        <w:t>E. 2</w:t>
      </w:r>
    </w:p>
    <w:p>
      <w:r>
        <w:t>Die Kognition des Bundesverwaltungsgerichts und die zulässigen Rügen</w:t>
      </w:r>
    </w:p>
    <w:p>
      <w:r>
        <w:t>D-3251/2025 Seite 4 richten sich im Asylbereich nach Art. 106 Abs. 1 AsylG, im Bereich des Aus- länderrechts nach Art. 49 VwVG (vgl. BVGE 2014/26 E. 5).</w:t>
      </w:r>
    </w:p>
    <w:p>
      <w:r>
        <w:rPr>
          <w:b/>
        </w:rPr>
        <w:t>E. 3</w:t>
      </w:r>
    </w:p>
    <w:p>
      <w:r>
        <w:t>Die vorliegende Beschwerde erweist sich – wie nachstehend aufge- zeigt – als offensichtlich unbegründet und ist im Verfahren einzelrichterli- cher Zuständigkeit mit Zustimmung eines zweiten Richters beziehungs- weise einer zweiten Richterin (Art. 111 Bst. e AsylG), ohne Weiterungen und mit summarischer Begründung zu behandeln (Art. 111a Abs. 1 und 2 AsylG).</w:t>
      </w:r>
    </w:p>
    <w:p>
      <w:r>
        <w:rPr>
          <w:b/>
        </w:rPr>
        <w:t>E. 4.1</w:t>
      </w:r>
    </w:p>
    <w:p>
      <w:r>
        <w:t>Die Beschwerdeführerin erhebt formelle Rügen, welche vorab zu beur- teilen sind, da diese gegebenenfalls geeignet sind, eine Kassation der an- gefochtenen Verfügung zu bewirken. Sie rügt eine unvollständige Sachver- haltsfeststellung, da medizinische und soziale Aspekte sowie die familiären Bindungen und daraus resultierende Schutzbedürfnisse nicht angemessen berücksichtigt worden seien. Weiter habe das SEM es unterlassen, eine individuelle Gefährdungsanalyse durchzuführen.</w:t>
      </w:r>
    </w:p>
    <w:p>
      <w:r>
        <w:rPr>
          <w:b/>
        </w:rPr>
        <w:t>E. 4.2</w:t>
      </w:r>
    </w:p>
    <w:p>
      <w:r>
        <w:t>Die Vorinstanz hat die Beschwerdeführerin an beiden Anhörungen aus- führlich zu ihrem Gesundheitszustand befragt. Der medizinische Sachver- halt wurde damit hinreichend abgeklärt und erstellt, zumal die Beschwer- deführerin auch nicht darlegen konnte, inwiefern die Sachverhaltsfeststel- lung unvollständig sein sollte. Auch in Bezug auf die angeblich mangelhafte Berücksichtigung sozialer Aspekte fehlt es der Rüge an Substantiierung und es erschliesst sich dem Gericht nicht, inwiefern in diesem Aspekt eine unvollständige Sachverhaltsfeststellung vorliegen soll. Sodann hat die Vor- instanz die Zulässigkeit und Zumutbarkeit des Wegweisungsvollzugs ge- prüft, wobei keine unzureichende Berücksichtigung der individuellen Situ- ation der Beschwerdeführerin oder einer geschlechtsspezifischen Vulnera- bilität ersichtlich ist. Soweit im Zusammenhang mit den formellen Rügen Rechtsprechung angerufen wurde, ist festzustellen, dass der eine zitierte Entscheid nicht existiert und der andere nicht einschlägig ist.</w:t>
      </w:r>
    </w:p>
    <w:p>
      <w:r>
        <w:rPr>
          <w:b/>
        </w:rPr>
        <w:t>E. 4.3</w:t>
      </w:r>
    </w:p>
    <w:p>
      <w:r>
        <w:t>Die formellen Rügen erweisen sich nach dem Gesagten als unbegrün- det, weshalb keine Veranlassung zur Rückweisung der Sache an die Vor- instanz besteht. Das entsprechende Rechtsbegehren ist abzuweisen.</w:t>
      </w:r>
    </w:p>
    <w:p>
      <w:r>
        <w:t>D-3251/2025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kam in der ablehnenden Verfügung zum Schluss, die Vor- bringen der Beschwerdeführerin hielten weder den Anforderungen an die Flüchtlingseigenschaft noch denjenigen an die Glaubhaftigkeit stand. In Bezug auf das Vorbringen, die Beschwerdeführerin sei von Mitgliedern des CID und der Armee jahrelang missbraucht worden, hielt es das SEM für nicht nachvollziehbar, weshalb die Beschwerdeführerin in B._______ verblieben sei, hätten die geltend gemachten Aufsuchungen und Miss- handlungen doch nur dort stattgefunden und sei sie an anderen Orten un- behelligt geblieben. Darüber hinaus seien diverse Angaben der Beschwer- deführerin als unstimmig zu qualifizieren, insbesondere in Bezug auf den Aufenthaltsort ihrer Tochter C._______. sowie auch hinsichtlich des Ver- schwindens ihres Ehemanns und des Zeitpunkts des Beginns ihrer Prob- leme mit den Behörden und insbesondere dem CID. Auch mehrere Nach- fragen hätten keine Klarheit schaffen können. Zweifelhaft erscheine zu- dem, dass der Ehemann im Familienhause gesucht worden sein solle, wenn dieser sich seit 1997 nur noch sporadisch dort aufgehalten habe. Unplausibel sei sodann, dass die Familienmitglieder der Beschwerdefüh- rerin nichts von deren Anschluss an die LTTE gewusst haben sollen, zumal sie – hätte sie sich tatsächlich den LTTE angeschlossen – plötzlich über</w:t>
      </w:r>
    </w:p>
    <w:p>
      <w:r>
        <w:t>D-3251/2025 Seite 6 längere Zeiträume weggeblieben sein müsste. Auch dass sie bei einer krie- gerischen Partei mehrmals habe freinehmen können und dass ihre einfa- che schriftliche Bitte um Entlassung akzeptiert worden sein solle, scheine zweifelhaft. Dass die CID und Armee über Jahre nur nach dem Ehemann und der Tochter der Beschwerdeführerin gefragt hätten, obwohl sie selbst – als angeblich ehemalige LTTE-Kämpferin – von weit grösserem Interesse gewesen wäre, scheine unlogisch. Dass ihre Tochter nichts von ihrer an- geblichen LTTE-Vergangenheit gewusst habe sei ebenfalls unplausibel, und der Erklärungsversuch, sie habe ihren Kindern ihre Vergangenheit ver- schwiegen, um unbeabsichtigtes Offenbaren zu verhindern, sei nicht nach- vollziehbar, zumal die Tochter den Vater der Bewegung zugeordnet habe und es daher keinen Unterschied gemacht hätte, wenn die Kinder auch von der Vergangenheit der Beschwerdeführerin erfahren hätten. Ebenso wenig überzeugend sei, dass sie trotz jahrelanger Bedrohung nie Anzeige erstat- tet und dies einzig damit begründet habe, es sei ihr untersagt worden. Schliesslich sei unplausibel, dass sie in all den Jahren nie festgenommen oder mitgenommen worden sei, sondern jeweils lediglich in ihrem Fami- lienhaus aufgesucht und befragt worden sei. Die Beschwerdeführerin habe ihre Vorbringen nicht aus einer persönlichen und erlebnisgeprägten Perspektive schildern können. Ihre Aussagen zu ih- rer Zeit bei den LTTE sowie zu den über Jahre dauernden sexuellen Über- griffen und Vergewaltigungen seien vage und oberflächlich ausgefallen. Die Schilderungen wirkten austauschbar und es fehle an konkreten Details, was den Eindruck eines konstruierten Sachverhalts erwecke. Auch die Dar- stellung ihrer ersten Protestteilnahme im Januar 2024 erscheine stereotyp und damit wenig glaubhaft. Sodann deute die problemlose Ausstellung ei- nes Reisepasses sowie die ebenfalls problemlose Ausreise über den Flug- hafen Colombo nicht auf das Bestehen einer asylrelevanten Verfolgung hin, sei doch davon auszugehen, dass sich dies für tatsächlich vom CID verfolgte Personen schwieriger gestalten würde. Insgesamt gelinge es der Beschwerdeführerin nicht, ihre Vorbringen glaubhaft zu machen. Zudem hätten allfällige, im Zeitpunkt der Ausreise Ende Oktober 2024 be- stehende Risikofaktoren kein Verfolgungsinteresse seitens der sri-lanki- schen Behörden auszulösen vermocht. Den Akten seien auch in Berück- sichtigung der aktuellen politischen Ausgangslage keine Hinweise auf eine relevante Verschärfung ihrer persönlichen Situation zu entnehmen.</w:t>
      </w:r>
    </w:p>
    <w:p>
      <w:r>
        <w:rPr>
          <w:b/>
        </w:rPr>
        <w:t>E. 6.2</w:t>
      </w:r>
    </w:p>
    <w:p>
      <w:r>
        <w:t>Auf Beschwerdeebene wurde im Wesentlichen geltend gemacht, die Familie der Beschwerdeführerin befinde sich aufgrund einer anhaltenden</w:t>
      </w:r>
    </w:p>
    <w:p>
      <w:r>
        <w:t>D-3251/2025 Seite 7 Gefährdungslage im Exil und nahen Familienmitgliedern sei in verschiede- nen europäischen Staaten und in der Schweiz Asyl gewährt worden. Diese Anerkennungen würden die Ernsthaftigkeit und Glaubhaftigkeit der geltend gemachten Fluchtgründe belegen. Es würden familienintern identische Fluchtgründe bestehen, weshalb der Beschwerdeführerin aufgrund des Gleichbehandlungsgebots ebenfalls Asyl zu gewähren sei. Als Beweismit- tel reichte sie dazu mehrere, teilweise ausländische (Gerichts-)Dokumente betreffend ihre Familienmitglieder zu den Akten.</w:t>
      </w:r>
    </w:p>
    <w:p>
      <w:r>
        <w:rPr>
          <w:b/>
        </w:rPr>
        <w:t>E. 7.1</w:t>
      </w:r>
    </w:p>
    <w:p>
      <w:r>
        <w:t>Nach Prüfung der Akten kommt das Bundesverwaltungsgericht zum Schluss, dass das SEM die Vorbringen der Beschwerdeführerin zu Recht als unglaubhaft qualifiziert und ihre Flüchtlingseigenschaft verneint hat. Die weitgehend unsubstantiierten Ausführungen auf Beschwerdeebene führen zu keinem anderen Ergebnis. Zur Vermeidung von Wiederholungen kann grundsätzlich auf die betreffenden Ausführungen in der angefochtenen Verfügung verwiesen werden.</w:t>
      </w:r>
    </w:p>
    <w:p>
      <w:r>
        <w:rPr>
          <w:b/>
        </w:rPr>
        <w:t>E. 7.2</w:t>
      </w:r>
    </w:p>
    <w:p>
      <w:r>
        <w:t>Soweit die Beschwerdeführerin geltend macht, ihr sei aufgrund des Gleichbehandlungsgebots Asyl zu gewähren, verkennt sie, dass bei der Beurteilung von Asylgesuchen stets eine Einzelfallbeurteilung vorzuneh- men ist. Der Umstand, dass nahe Angehörige Asyl erhalten haben, kann zwar als Indiz dienen, massgeblich ist aber schlussendlich, ob eine asylsu- chende Person ihre eigene Flüchtlingseigenschaft nachweisen bezie- hungsweise glaubhaft machen kann. Aus den beigezogenen Akten der Tochter D._______ (N […]) ergibt sich, dass deren Fall anders gelagert war. Dass das SEM das Asylgesuch der Beschwerdeführerin ablehnte, ob- wohl ihre Tochter Asyl erhalten hat, verstösst damit nicht gegen das Gleich- behandlungsgebot. Weiter ergibt sich aus den Akten, dass das in der Schweiz gestellte Asylgesuch ihres Ehemanns im Jahr 2012 mangels flüchtlingsrechtlicher Relevanz der Vorbringen abgelehnt wurde und das zweite Verfahren im Jahr 2014 abgeschrieben wurde. In Deutschland wurde sodann am 22. März 2021 zur Abschiebung ihres Ehemanns ein Ausreisegewahrsam angeordnet und er erklärte gleichentags, freiwillig aus Deutschland auszureisen. Die Darstellung der Beschwerdeführerin, ihr Ehemann habe in Deutschland Duldung mit Schutzwirkung erhalten, stimmt damit nicht mit der Aktenlage überein. Die eingereichten Doku- mente zu ihrer in Frankreich lebenden Tochter zeigen ferner, dass diese dort ebenfalls nicht als Flüchtling anerkannt wurde, sondern lediglich sub- sidiären Schutz erhalten hat. Die Beschwerdeführerin kann nach dem</w:t>
      </w:r>
    </w:p>
    <w:p>
      <w:r>
        <w:t>D-3251/2025 Seite 8 Gesagten aus den Verfahren ihrer Familienangehörigen nichts zu ihren Gunsten ableiten.</w:t>
      </w:r>
    </w:p>
    <w:p>
      <w:r>
        <w:rPr>
          <w:b/>
        </w:rPr>
        <w:t>E. 7.3</w:t>
      </w:r>
    </w:p>
    <w:p>
      <w:r>
        <w:t>Des Weiteren ergibt sich auch unter Berücksichtigung allfälliger Risiko- faktoren im Hinblick auf die Rückkehr der Beschwerdeführerin nach Sri Lanka nicht mit überwiegender Wahrscheinlichkeit eine flüchtlingsrechtlich relevante Gefährdung beziehungsweise eine im heutigen Zeitpunkt be- gründete Furcht vor künftiger Verfolgung (vgl. Referenzurteil des BVGer E-1886/2015 vom 15. Juli 2016 E. 8.4). Es sind keine Hinweise ersichtlich, dass die sri-lankischen Behörden ihr Verbindungen zu den LTTE unterstel- len würden; sie wurde nie angeklagt oder gar verurteilt und ist insbeson- dere nie als Befürworterin des tamilischen Separatismus in Erscheinung getreten. Insgesamt weist sie kein Profil auf, welches darauf schliessen lassen müsste, dass sie bei einer Rückkehr die Aufmerksamkeit der hei- matlichen Sicherheitsbehörden auf sich ziehen würde und ihr deswegen ernsthafte Nachteile im Sinne von Art. 3 AsylG drohen würden.</w:t>
      </w:r>
    </w:p>
    <w:p>
      <w:r>
        <w:rPr>
          <w:b/>
        </w:rPr>
        <w:t>E. 7.4</w:t>
      </w:r>
    </w:p>
    <w:p>
      <w:r>
        <w:t>Das SEM hat demzufolge die Flüchtlingseigenschaft der Beschwerde- führerin zu Recht verneint und ihr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Die Beschwerdeführerin macht eine Verletzung von Art. 8 EMRK geltend, sollte sie aus der Schweiz weggewiesen werden. Der Schutz des Famili- enlebens nach Art. 8 Ziff. 1 EMRK bezieht sich EMRK in erster Linie auf die Kernfamilie (Ehegatten und minderjährige Kinder); andere familiäre Be- ziehungen, namentlich diejenigen zwischen Eltern und erwachsenen Kin- dern, stehen nur ausnahmsweise unter dem Schutz von Art. 8 EMRK, näm- lich dann, wenn ein besonderes Abhängigkeitsverhältnis besteht (vgl. BGE 147 I 268 E. 1.2.3, 144 II 1 E. 6.1, 137 I 154 E. 3.4.2, Urteil des Europäi- schen Gerichtshofs für Menschenrechte [EGMR] Emonet et al. gegen die Schweiz vom 13. Dezember 2007, Nr. 39051/03, § 35). Ein solches wird von der Beschwerdeführerin in Bezug auf ihre in der Schweiz lebende, voll- jährige Tochter nicht vorgebracht und ist auch den Akten nicht zu entneh- men, womit diese Beziehung nicht in den Schutzbereich von Art. 8 EMRK fällt, welcher eine Wegweisung nach Sri Lanka als unzulässig erscheinen lassen würde.</w:t>
      </w:r>
    </w:p>
    <w:p>
      <w:r>
        <w:t>D-3251/2025 Seite 9</w:t>
      </w:r>
    </w:p>
    <w:p>
      <w:r>
        <w:rPr>
          <w:b/>
        </w:rPr>
        <w:t>E. 8.2</w:t>
      </w:r>
    </w:p>
    <w:p>
      <w:r>
        <w:t>Die Beschwerdeführerin verfügt in der Schweiz nach dem Gesagten insbesondere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die Beschwerdeführerin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Wegweisungsvollzugs beurteilt sich vielmehr nach den allgemeinen verfassungs- und völkerrechtlichen Best- immungen (Art. 25 Abs. 3 BV; Art. 3 des Übereinkommens vom 10. De- zember 1984 gegen Folter und andere grausame, unmenschliche oder er- niedrigende Behandlung oder Strafe [FoK, SR 0.105]; Art. 3 EMRK).</w:t>
      </w:r>
    </w:p>
    <w:p>
      <w:r>
        <w:rPr>
          <w:b/>
        </w:rPr>
        <w:t>E. 9.2.3</w:t>
      </w:r>
    </w:p>
    <w:p>
      <w:r>
        <w:t>Sodann gibt es keine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w:t>
      </w:r>
    </w:p>
    <w:p>
      <w:r>
        <w:t>D-3251/2025 Seite 10 oder unmenschliche Behandlung drohen würde (vgl. Urteil des EGMR Saadi gegen Italien vom 28. Februar 2008, Grosse Kammer 37201/06, §§ 124-127 m.w.H.). Der EGMR hat zudem wiederholt festgestellt, dass nicht generell davon auszugehen sei, zurückkehrenden Tamilen drohe in Sri Lanka eine unmenschliche Behandlung. Vielmehr müsse eine Risikoein- schätzung im Einzelfall vorgenommen werden (vgl. beispielsweise das Ur- teil des EGMR R.J. gegen Frankreich vom 19. September 2013, Nr. 10466/11, Ziff. 37). Nachdem die Beschwerdeführerin nicht darzutun vermochte, dass sie bei einer Rückkehr über einen blossen «Background Check» hinausgehende Aufmerksamkeit der sri-lankischen Behörden zu befürchten hätte, bestehen auch keine Anhaltspunkte für eine drohende menschenrechtswidrige Behandlung. Auch die allgemeine Menschen- rechtssituation in Sri Lanka lässt den Wegweisungsvollzug nicht als unzu- lässig erscheinen.</w:t>
      </w:r>
    </w:p>
    <w:p>
      <w:r>
        <w:rPr>
          <w:b/>
        </w:rPr>
        <w:t>E. 9.2.4</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Gemäss nach wie vor gültiger Rechtsprechung ist der Wegweisungsvollzug in die Ost- und Nord- provinz weiterhin zumutbar, sofern das Vorliegen der individuellen Zumut- barkeitskriterien (insbesondere Existenz eines tragfähigen familiären oder sozialen Beziehungsnetzes sowie Aussichten auf eine gesicherte Einkom- mens- und Wohnsituation) bejaht werden kann (vgl. Referenzurteile des BVGer D-3619/2016 vom 16. Oktober 2017 E. 9.5 und E-1866/2015 E. 13.2). Dies gilt auch unter Berücksichtigung der aktuellen politischen und wirtschaftlichen Entwicklungen in Sri Lanka (Stabilisierung der Wirt- schaft seit 2022, Präsidentschaftswahl am 21. September 2024, Parla- mentswahlen am 14. November 2024).</w:t>
      </w:r>
    </w:p>
    <w:p>
      <w:r>
        <w:t>D-3251/2025 Seite 11</w:t>
      </w:r>
    </w:p>
    <w:p>
      <w:r>
        <w:rPr>
          <w:b/>
        </w:rPr>
        <w:t>E. 9.3.3</w:t>
      </w:r>
    </w:p>
    <w:p>
      <w:r>
        <w:t>Auch individuelle Vollzugshindernisse sind nicht ersichtlich. Die Be- schwerdeführerin hat ihren Lebensunterhalt jahrelang selbst verdient, was ihr erneut zugemutet werden kann. Sie hat Familienangehörige in Sri Lanka und ihr vor der Ausreise bewohntes Eigenheim hat sie ihrem Bruder übergeben, wobei davon ausgegangen werden kann, dass sie nach ihrer Rückkehr wieder dort wohnen kann. Zudem stellen auch die bereits in Sri Lanka behandelten, gesundheitlichen Probleme der Beschwerdeführerin keine Wegweisungsvollzugshindernisse dar, zumal grundsätzlich von einer funktionierenden medizinischen Grundversorgung in Sri Lanka auszuge- hen ist, wobei auch gängige psychiatrisch-psychologische Behandlungen Verfügbar sind (Urteil des BVGer E-2426/2020 vom 5. Juni 2024 E. 13.3.4.2). Damit stehen auch die vorgebrachten psychischen Probleme einem Wegweisungsvollzug nicht entgegen. Eine Verletzung des Kindes- wohls gemäss Art. 3 des Übereinkommens vom 20. November 1989 über die Rechte des Kindes (KRK; SR 0.107) – wie in der Beschwerde gerügt – ist offenkundig nicht ersichtlich. Schliesslich stellt auch der Grad der In- tegration in der Schweiz grundsätzlich kein Kriterium dar, welche bei der Beurteilung der Zumutbarkeit des Wegweisungsvollzugs im Sinne von Art. 83 Abs. 4 AIG zu berücksichtigen wäre (vgl. BVGE 2009/52 E. 10.3; vgl. Entscheidungen und Mitteilungen der Schweizerischen Asylrekurs- kommission [EMARK] 2006 Nr. 13 E. 3.5).</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t>D-3251/2025 Seite 12</w:t>
      </w:r>
    </w:p>
    <w:p>
      <w:r>
        <w:rPr>
          <w:b/>
        </w:rPr>
        <w:t>E. 11</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D-3251/2025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