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D-3249/2012 vom 30. Juli 2012</w:t>
      </w:r>
    </w:p>
    <w:p>
      <w:r>
        <w:t>Bundesverwaltungsgericht, 2012-07-30, DE</w:t>
      </w:r>
    </w:p>
    <w:p>
      <w:r>
        <w:rPr>
          <w:b/>
        </w:rPr>
        <w:t xml:space="preserve">Quelle: </w:t>
      </w:r>
      <w:r>
        <w:t>https://mcp.opencaselaw.ch/entscheid/bvger_D-3249_2012</w:t>
      </w:r>
    </w:p>
    <w:p>
      <w:r>
        <w:t>FR: TAF D-3249/2012 du 30 juillet 2012</w:t>
      </w:r>
    </w:p>
    <w:p>
      <w:r>
        <w:t>IT: TAF D-3249/2012 del 30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i.V.m. Art. 48 Abs. 1 sowie Art. 52 VwVG). Auf die Beschwerde ist - soweit nicht bereits mit Zwischenverfügung vom 21. Juni 2012 nicht darauf eingetreten wurde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dass die Schilderungen des Beschwerdeführers über weite Strecken oberflächlich, wenig konkret, wenig differenziert, zu wenig detailliert und widersprüchlich gewesen seien. Seine Antworten seien knapp und spärlich ausgefallen. Es wäre zu erwarten gewesen, dass er das Ereignis, als er seinen Freund tot aufgefunden habe, persönlicher und lebendiger geschildert hätte. Der Umstand, dass er keine konkreten Angaben über die vier Freunde und Bekannten habe machen können, erwecke nicht den Eindruck von tatsächlich Erlebtem. Im Weiteren habe er bei der Erstbefragung zur Frage, wer den Alkohol produziert habe, den er verkauft habe, angegeben, viele Leute hätte dies im Versteckten getan und er habe den Alkohol bei diesen Leuten gekauft. Bei der Anhörung habe er gesagt, er habe diesen ausschliesslich bei einer Frau gekauft. Es erwecke den Anschein, als habe der Beschwerdeführer gewisse Elemente seiner Fluchtgründe während der Anhörung fortlaufend entwickelt. Bei der freien Erzählung habe er ein­zig erwähnt, er habe Afghanistan auf Anraten eines Freundes verlassen. Bei einer späteren Nachfrage habe er gesagt, er habe Angst vor der Rache der Brüder seines verstorbenen Freundes gehabt, die sich bei der Regierung beschwert hätten. Dies habe er bei der Erstbefragung nicht er­wähnt. Weder bei der Erstbefragung noch bei der freien Schilderung habe er vorgebracht, sein Vater und sein Bruder seien von der Kriminalpolizei vorgeladen worden. Er habe mit seiner Familie erstmals von Griechenland aus Kontakt aufgenommen und habe dabei von der Vorladung der Angehörigen durch die Polizei erfahren. Es wäre zu erwarten gewesen, dass er dies bereits bei der Erstbefragung erwähnt hätte, zumal er dazu befragt worden sei. Aufgrund der widersprüchlichen und unsubstanziierten Aussagen des Beschwerdeführers seien seine Vorbringen als unglaubhaft zu beurteilen. Im Übrigen habe er den schweizerischen Behörden seinen Reisepass nicht abgegeben, weshalb weder seine Identität noch die Reisemodalitäten feststünden. Seine Erklärung, er habe den Pass in Griechenland verloren, vermöge nicht zu überzeugen.</w:t>
      </w:r>
    </w:p>
    <w:p>
      <w:r>
        <w:rPr>
          <w:b/>
        </w:rPr>
        <w:t>E. 4.2</w:t>
      </w:r>
    </w:p>
    <w:p>
      <w:r>
        <w:t>In der Beschwerde wird geltend gemacht, der Verkauf und Konsum von Alkohol sei in Afghanistan aus religiösen Gründen verboten. Der Beschwerdeführer lebe freizügig und habe sich gegen die vorherrschenden Religionsansichten gestellt. Dies werde in seiner Heimat bestraft. Bei der Befragung habe er ausgeführt, dass er nur zwei der bei der Feier Anwesenden gekannt habe. Aufgrund der konsumierten Alkoholmenge und des Zwecks der Feier ("Junggesellenabschied") sei plausibel, dass er keine detaillierten Angaben über die beiden ihm unbekannten Freunde von B._______ habe machen können. Bei der Erstbefragung habe er ausgesagt, andere hätten den Alkohol produziert und er habe ihn von anderen gekauft. Er habe aber nicht spezifiziert, von wem genau er gekauft habe. Erst bei der Anhörung sei er dazu genauer befragt worden und habe gesagt, eine Frau habe den Alkohol produziert und ihm diesen geliefert. Im Hinblick auf die Fragestellungen seien keine Widersprüche ersichtlich. Bei der ersten Befragung sei lediglich eine persische Dolmetscherin zugegen gewesen, die er nicht in aller Deutlichkeit verstanden habe. Es sei nicht verwunderlich, dass bei den Aussagen leichte Unterschiede entstanden seien. Der Beschwerdeführer habe gewusst, dass bei einer Untersuchung des Todes von B._______ ein massiver Alkoholkonsum festgestellt würde. Die ihm unbekannten Gäste hätten gewusst, dass er den Alkohol geliefert habe, weshalb er damit habe rechnen müssen, dass sein Verstoss gegen Religion und Gesetz bekannt werde. Dies habe ihn zur Flucht bewogen. Er sei bei der Befragung davon ausgegangen, dass die wesentlichen Vorbringen die Geschehnisse während der Feier bei B._______ gewesen seien, und nicht diejenigen nach der Flucht. Er habe bereits bei der Erstbefragung gesagt, er habe von seinem Bruder und seinem Vater von der polizeilichen Suche nach ihm erfahren. Schliesslich habe er alles unternommen, um seine Identität zu belegen. Er habe seine Identitätskarte nachträglich beschafft und es bestünden keine Zweifel an seiner Identität. Der Beschwerdeführer werde in seiner Heimat aufgrund seiner lockeren Einstellung zur Religion und seines Alkoholkonsums sowie dem Rachedurst der Brüder B._______ verfolgt.</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BVGE 2010/57 E. 2.3 S. 826 f., Entscheidungen und Mitteilungen der Schweizerischen Asylrekurskommission [EMARK] 2005 Nr. 21 E. 6.1 S. 190 f.).</w:t>
      </w:r>
    </w:p>
    <w:p>
      <w:r>
        <w:rPr>
          <w:b/>
        </w:rPr>
        <w:t>E. 5.2.1</w:t>
      </w:r>
    </w:p>
    <w:p>
      <w:r>
        <w:t>Das BFM hat in der angefochtenen Verfügung berechtigterweise da­rauf hingewiesen, dass der Beschwerdeführer zur Frage, bei wem er den Alkohol, den er in seinem Geschäft verkauft habe, bezogen habe, ab­wei­chende Angaben machte. Bei der Erstbefragung wurde er gefragt, wer den Alkohol, den er verkauft habe, produziert habe. Er gab zur Antwort, dass viele Leute dies im Versteckten machten und er den Alkohol von anderen gekauft habe (act. A6/10 S. 5). Bei der Anhörung wurde er gefragt, wie er an den (verkauften) Alkohol gekommen sei. Er sagte, eine Frau habe diesen zuhause produziert und ihm gebracht. Die Nachfrage, ob diese Frau seine einzige Lieferantin gewesen sei, bejahte er (act. A13/12 S. 7). Entgegen der in der Beschwerde vertretenen Auffassung handelte es sich bei beiden Befragungen somit um die gleiche Fragestellung.</w:t>
      </w:r>
    </w:p>
    <w:p>
      <w:r>
        <w:rPr>
          <w:b/>
        </w:rPr>
        <w:t>E. 5.2.2</w:t>
      </w:r>
    </w:p>
    <w:p>
      <w:r>
        <w:t>Insofern der Beschwerdeführer geltend macht, er habe die bei der Erstbefragung eingesetzte Dolmetscherin zwar in den Grundzügen, aber nicht in aller Deutlichkeit verstanden, weshalb es nicht verwunderlich sei, dass in den Aussagen leichte Unterschiede entstanden seien, ist festzustellen, dass er bei der Erstbefragung sowohl eingangs der Befragung als auch bei deren Abschluss angab, die übersetzende Person gut zu verstehen. Dem Protokoll sind keine Hinweise auf Verständigungsschwierigkeiten zu entnehmen und auch bei der Rückübersetzung brachte er keine Korrekturen an, so dass davon auszugehen ist, das Protokoll der Erstbefragung gebe seine Aussagen korrekt wieder.</w:t>
      </w:r>
    </w:p>
    <w:p>
      <w:r>
        <w:rPr>
          <w:b/>
        </w:rPr>
        <w:t>E. 5.2.3</w:t>
      </w:r>
    </w:p>
    <w:p>
      <w:r>
        <w:t>Der Beschwerdeführer führte in der Erstbefragung an, er habe Afghanistan verlassen, weil er ansonsten wegen des Todes seines Freundes und des Alkoholverkaufs ins Gefängnis gekommen wäre. Die Frage, ob er alle Gründe für das Verlassen seiner Heimat und die Asylgesuchstellung genannt habe, bejahte er, die Frage, ob es noch andere als die genannten Gründe gebe, die einer Rückkehr in sein Heimatland entgegenstünden, verneinte er (act. A6/10 S. 5 f.). Bei der Anhörung hingegen erwähnte er, er fürchte sich vor den Brüdern des Verstorbenen, diese stammten aus den Dörfern und würden Rache ausüben. Sie hätten sich bei den Behörden über ihn beschwert. Die Aussage des Beschwerdeführers, er fürchte sich vor den Brüdern seines Freundes, vermag nicht zu überzeugen, da er eine von diesen ausgehende Gefährdung bereits bei der Erstbefragung hätte erwähnen müssen, wurde er doch ausdrücklich nach (anderen) Gründen gefragt, die einer Rückkehr in seine Heimat entgegenstehen könnten. Dieses Vorbringen ist als nachgeschoben und somit unglaubhaft zu werten.</w:t>
      </w:r>
    </w:p>
    <w:p>
      <w:r>
        <w:rPr>
          <w:b/>
        </w:rPr>
        <w:t>E. 5.2.4</w:t>
      </w:r>
    </w:p>
    <w:p>
      <w:r>
        <w:t>In Übereinstimmung mit der vom BFM vertretenen Ansicht erachtet es auch das Bundesverwaltungsgericht als unwahrscheinlich, dass der Beschwerdeführer wirklich bestehende Schwierigkeiten, die sein Vater seit dem Jahr 2009 wegen ihm mit der Kriminalpolizei habe, erst bei der Anhörung zu den Asylgründen und nicht bereits bei der Erstbefragung erwähnt hätte. Gerade solche Schwierigkeiten seiner Familienangehörigen hätten für den Beschwerdeführer bedeutet, dass eine Rückkehr in seine Heimat für ihn gefährlich sein könnte. Dass er diese Gefährdung auf Nachfrage hin nicht geltend machte (act. A6/10 S. 6), spricht gegen die Glaubhaftigkeit des erst im späteren Verlauf des Verfahrens eingebrachten Gefährdungsmoments.</w:t>
      </w:r>
    </w:p>
    <w:p>
      <w:r>
        <w:rPr>
          <w:b/>
        </w:rPr>
        <w:t>E. 5.2.5</w:t>
      </w:r>
    </w:p>
    <w:p>
      <w:r>
        <w:t>Die Zweifel an der Schutzbedürftigkeit des Beschwerdeführers werden nicht zuletzt dadurch bestärkt, dass er sich - teilweise während längerer Zeit - in mehreren Staaten aufhielt, ohne dort um Schutz nachzusuchen. So durchquerte er eigenen Angaben gemäss den Iran und die Türkei, lebte während mehr als eineinhalb Jahren in Griechenland, um schliesslich über Italien in die Schweiz zu gelangen. Den Akten kann indessen nicht entnommen werden, dass er sich in einem dieser Länder um den Erhalt von Schutz bemühte. Der Umstand, dass er sich erstmals rund zwei Jahre nach dem Verlassen Afghanistans dahingehend äusserte, dass er Schutz vor Verfolgung benötige, spricht ebenso wie die vorste­henden Erwägungen gegen die von ihm geschilderte Bedrohungssituation.</w:t>
      </w:r>
    </w:p>
    <w:p>
      <w:r>
        <w:rPr>
          <w:b/>
        </w:rPr>
        <w:t>E. 5.3</w:t>
      </w:r>
    </w:p>
    <w:p>
      <w:r>
        <w:t>Zusammenfassend ergibt sich, dass es dem Beschwerdeführer nicht gelungen ist, eine im Zeitpunkt seiner Ausreise aus Afghanistan bestehende oder unmittelbar drohende asylrechtlich relevante Verfolgung nachzuweisen oder zumindest glaubhaft zu machen. Auch im heutigen Zeitpunkt kann ihm keine begründete Furcht vor einer Rückkehr in sein Heimatland zuerkannt werden. Es erübrigt sich, auf die weiteren Ausführungen in der Beschwerde im Einzelnen einzugehen, da sie an der Würdigung des vorliegenden Sachverhalts nichts zu ändern vermögen. Das BFM hat sein Asylgesuch demnach zu Recht abgelehnt. 6.1 Lehnt das Bundesamt das Asylgesuch ab oder tritt es darauf nicht ein, so verfügt es in der Regel die Wegweisung aus der Schweiz und ordnet den Vollzug an; es berücksichtigt dabei den Grundsatz der Einheit der Fa­milie (Art. 44 Abs. 1 AsylG). 6.2 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unter Hinweis auf die Erwägungen zur Glaubhaftigkeit seiner Vorbringen nicht gelungen.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Das Bundesverwaltungsgericht hat in seinem Urteil D-7950/2009 vom 30. Dezember 2011 die Lage in Mazar-i-Sharif analysiert und ist zum Schluss gelangt, dass die dortige Lage mit derjenigen in Kabul zumindest vergleichbar ist und es sich nicht rechtfertigt, aufgrund der dort herrschenden allgemeinen Situation von einer generellen Unzumutbarkeit der Rückkehr dorthin auszugehen.</w:t>
      </w:r>
    </w:p>
    <w:p>
      <w:r>
        <w:rPr>
          <w:b/>
        </w:rPr>
        <w:t>E. 7.4.3</w:t>
      </w:r>
    </w:p>
    <w:p>
      <w:r>
        <w:t>Vorliegend ergeben sich aus den Akten keine individuellen Umstände, die es rechtfertigen würden, den Vollzug der Wegweisung des Beschwerdeführers in die Stadt Mazar-i-Sharif als unzumutbar zu erachten. Gemäss den Akten wohnen seine Eltern, seine Geschwister und weitere Verwandte beider Elternteile in Mazar-i-Sharif. Somit verfügt er über ein tragfähiges familiäres Beziehungsnetz, das ihm bei der Reintegration behilflich sein wird. Insbesondere ist anzunehmen, dass er nach seiner Rückkehr nach Mazar-i-Sharif bei Familienangehörigen wohnen kann, bis er allenfalls eine eigene Unterkunft gefunden hat, und dass seine Familie ihn bei der Suche nach einer Arbeitsstelle unterstützt. Der junge, ledige Beschwerdeführer ist - gemäss den Akten - gesund und hat eine für Afghanistan durchschnittliche Schulbildung. Zudem spricht er neben seiner Muttersprache Farsi auch Paschtu und Urdu und er war in seiner Heimat als Inhaber eines Ladens während einigen Jahren erwerbstätig, weshalb davon auszugehen ist, er werde sich bei einer Rückkehr nach Afghanistan auch beruflich wieder integrieren können. Die Rückkehrhilfe der Schweiz, die er auf Antrag hin unter gewissen Umständen erhalten können wird, wird ihm den Wiedereinstieg in seiner Heimat ebenfalls erleichtern (Art. 93 Abs. 1 Bst. d AsylG; Art. 73 ff. der Asylverordnung 2 vom 11. August 1999 [AsylV 2, SR 142.312]). Schliesslich ist darauf hinzuweisen, dass er seine Heimat erst im Alter von 24 Jahren verliess und somit den grössten Teil seines Lebens in Afghanistan verbrachte, weshalb er mit der dortigen Sprache, Kultur, Arbeits- und Lebensweise bestens vertraut ist.</w:t>
      </w:r>
    </w:p>
    <w:p>
      <w:r>
        <w:rPr>
          <w:b/>
        </w:rPr>
        <w:t>E. 7.4.4</w:t>
      </w:r>
    </w:p>
    <w:p>
      <w:r>
        <w:t>Somit ist der Wegweisungsvollzug des Beschwerdeführers in die Stadt Mazar-i-Sharif auch im Lichte der aktuellen Rechtsprechung zu Afghanistan sowohl in genereller als auch in individueller Hinsicht als zumutbar zu erachten.</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soweit auf diese einzutreten ist.</w:t>
      </w:r>
    </w:p>
    <w:p>
      <w:r>
        <w:rPr>
          <w:b/>
        </w:rPr>
        <w:t>E. 9</w:t>
      </w:r>
    </w:p>
    <w:p>
      <w:r>
        <w:t>Bei diesem Ausgang des Verfahrens wären die Kosten dem Beschwer­deführer aufzuerlegen (Art. 63 Abs. 1 VwVG). Da ihm mit Zwischenverfügung vom 21. Juni 2012 unter der Voraussetzung des Nachreichens einer Bestätigung seiner Fürsorgeabhängigkeit die unentgeltliche Rechtspflege gemäss Art. 65 Abs. 1 VwVG gewährt wurde und er diese nachreichte,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