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D-3243/2023 vom 5. Mai 2023</w:t>
      </w:r>
    </w:p>
    <w:p>
      <w:r>
        <w:t>Bundesverwaltungsgericht, 2023-05-05, IT</w:t>
      </w:r>
    </w:p>
    <w:p>
      <w:r>
        <w:rPr>
          <w:b/>
        </w:rPr>
        <w:t xml:space="preserve">Quelle: </w:t>
      </w:r>
      <w:r>
        <w:t>https://mcp.opencaselaw.ch/entscheid/bvger_D-3243_2023_d20230505</w:t>
      </w:r>
    </w:p>
    <w:p>
      <w:r>
        <w:t>FR: TAF D-3243/2023 du 5 mai 2023</w:t>
      </w:r>
    </w:p>
    <w:p>
      <w:r>
        <w:t>IT: TAF D-3243/2023 del 5 maggio 2023</w:t>
      </w:r>
    </w:p>
    <w:p>
      <w:pPr>
        <w:pStyle w:val="Heading2"/>
      </w:pPr>
      <w:r>
        <w:t>Regeste</w:t>
      </w:r>
    </w:p>
    <w:p>
      <w:r>
        <w:t>Ricongiungimento familiare (asilo) | Ricongiungimento familiare (asilo); decisione della SEM del 5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importo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Kevin Togni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