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D-3243/2022 vom 17. August 2022</w:t>
      </w:r>
    </w:p>
    <w:p>
      <w:r>
        <w:t>Bundesverwaltungsgericht, 2022-08-17, DE</w:t>
      </w:r>
    </w:p>
    <w:p>
      <w:r>
        <w:rPr>
          <w:b/>
        </w:rPr>
        <w:t xml:space="preserve">Quelle: </w:t>
      </w:r>
      <w:r>
        <w:t>https://mcp.opencaselaw.ch/entscheid/bvger_D-3243_2022</w:t>
      </w:r>
    </w:p>
    <w:p>
      <w:r>
        <w:t>FR: TAF D-3243/2022 du 17 août 2022</w:t>
      </w:r>
    </w:p>
    <w:p>
      <w:r>
        <w:t>IT: TAF D-3243/2022 del 17 agosto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Gestützt auf Art. 111a Abs. 1 AsylG wurde vorliegend auf einen Schriftenwechsel verzichtet.</w:t>
      </w:r>
    </w:p>
    <w:p>
      <w:r>
        <w:rPr>
          <w:b/>
        </w:rPr>
        <w:t>E. 3.1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von unbegleiteten Minderjährigen ohne familiäre Anknüpfungspunkte (zu einem anderen Mitgliedstaat) ist gemäss Art. 8 Abs. 4 Dublin-III-VO der Staat zuständig, in welchem der Minderjährige seinen Antrag gestellt hat (vgl. u.a. Urteile BVGer D-3656/2021 vom 20. August 2021 E. 4.2, F-949/2021 vom 24. März 2021 E. 3.2).</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Der Beschwerdeführer wurde über die Route von seinem Herkunftsland in die Schweiz und der dortigen Verweildauer befragt und er nahm am 29. Juni 2022 zur voraussichtlichen Zuständigkeit Bulgariens, Deutschlands oder Österreichs Stellung. Der rechtskundig vertretene Beschwerdeführer bringt nicht vor, dass sein Anspruch auf rechtliches Gehör verletzt, die Befragung nicht korrekt durchgeführt worden sei oder er seit Beginn des Verfahrens nicht von einer fachkundigen Person ordnungsgemäß vertreten und unterstützt werde.</w:t>
      </w:r>
    </w:p>
    <w:p>
      <w:r>
        <w:rPr>
          <w:b/>
        </w:rPr>
        <w:t>E. 5</w:t>
      </w:r>
    </w:p>
    <w:p>
      <w:r>
        <w:t>Die Vorinstanz begründet in ihrem Entscheid, dass sie in Anbetracht aller Indizien von der Volljährigkeit des Beschwerdeführers ausgehe. Die forensische Altersabklärung sei ein Indiz für die Volljährigkeit und attestiere, dass das geltend gemachte Alter nicht stimmen könne. Die von ihm als Fotographie eingereichte Tazkara sei in Afghanistan leicht käuflich erhältlich und leicht fälschbar. Daher komme diesem Dokument nur ein sehr eingeschränkter Beweiswert zu. Es gebe keine wesentlichen Gründe für die Annahme, dass das Asylverfahren und die Aufnahmebedingungen für Asylsuchende in Bulgarien Schwachstellen aufweisen würden, die eine der EU-Grundrechtecharta oder der EMRK widersprechende Behandlung mit sich bringen würden. Sodann würden keine Gründe vorliegen, welche die Schweiz zur Anwendung der Souveränitätsklausel im Sinne von Art. 29a Abs. 3 der Asylverordnung 1 vom 11. August 1999 (AsylV 1, SR 142.311) und Art. 17 Abs. 1 Dublin-III-VO veranlassen müssten.</w:t>
      </w:r>
    </w:p>
    <w:p>
      <w:r>
        <w:rPr>
          <w:b/>
        </w:rPr>
        <w:t>E. 6</w:t>
      </w:r>
    </w:p>
    <w:p>
      <w:r>
        <w:t>Dem entgegnete der Beschwerdeführer auf Beschwerdeebene, er sei 16 Jahre alt und nicht volljährig. Aufgrund der vorliegenden Indizien, sei im Zweifelsfall von seiner Minderjährigkeit auszugehen. In Bulgarien sei er in traumatisierender Weise schlecht behandelt worden. Überdies verweist er auf zwei Berichte von Bezugspersonen, die aufgrund ihres persönlichen Eindrucks auf seine Minderjährigkeit schlössen.</w:t>
      </w:r>
    </w:p>
    <w:p>
      <w:r>
        <w:rPr>
          <w:b/>
        </w:rPr>
        <w:t>E. 7.1</w:t>
      </w:r>
    </w:p>
    <w:p>
      <w:r>
        <w:t>Ein Abgleich der Fingerabdrücke des Beschwerdeführers mit der «Eurodac»-Datenbank ergab, dass dieser sich am 18. November 2021 in Bulgarien aufgehalten hatte, auf diese Weise illegal in das Hoheitsgebiet der Dublin-Staaten eingereist war, am 8. Dezember 2021 dort ein Asylgesuch gestellt hatte und am 7. April 2022 in Österreich sowie am 14. April 2022 in Deutschland weitere Asylgesuche gestellt hatte. Das SEM ersuchte deshalb die bulgarischen Behörden am 1. Juli 2022 um Wiederaufnahme des Beschwerdeführers. Die bulgarischen Behörden stimmten dem Gesuch um Übernahme am 14. Juli 2022 gestützt auf Art. 18 Abs. 1 Bst. c Dublin-III-VO zu. Die grundsätzliche Zuständigkeit Bulgariens ist somit gegeben. Wie die nachfolgenden Erwägungen zeigen, sind seine Vorbringen nicht geeignet, die Zuständigkeit dieses Staates in Frage zu stellen.</w:t>
      </w:r>
    </w:p>
    <w:p>
      <w:r>
        <w:rPr>
          <w:b/>
        </w:rPr>
        <w:t>E. 7.2.1</w:t>
      </w:r>
    </w:p>
    <w:p>
      <w:r>
        <w:t>Soweit der Beschwerdeführer geltend macht, aufgrund seiner Minderjährigkeit sei von der Zuständigkeit der schweizerischen Asylbehörden für sein Asylgesuch auszugehen, ist einerseits festzustellen, dass die Beweislast für die behauptete Minderjährigkeit grundsätzlich die asylsuchende Person trägt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7.2.2</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(vgl. ebenda E. 4.2.1 f.; Urteil des BVGer E-2642/2022 vom 24. Juni 2022 E. 7.2.2).</w:t>
      </w:r>
    </w:p>
    <w:p>
      <w:r>
        <w:rPr>
          <w:b/>
        </w:rPr>
        <w:t>E. 7.2.3</w:t>
      </w:r>
    </w:p>
    <w:p>
      <w:r>
        <w:t>Auf der als Fotographie eingereichten Tazkara ist als Geburtsdatum der 6. Juli im Jahr 1385 (gemäss gregorianischem Kalender 28. September 2006) vermerkt. Auf die Frage, weshalb er im Personalienblatt als Geburtsdatum den 13. März 2006 angegeben habe, machte er geltend, das Blatt auf Anweisung so ausgefüllt zu haben, er habe nur sein Geburtsjahr nennen wollen, da das Geburtsdatum ihm unbekannt sei. Die Ausführungen des Beschwerdeführers in der Befragung vom 25. Mai 2022 sind weiter teilweise widersprüchlich, da er einerseits auf den Eintrag auf seiner Tazkara verweist und andererseits behauptet, 16 Jahre alt zu sein, was gemäss den in der Tazkara festgehaltenen Daten nicht möglich ist, wobei der Beschwerdeführer diesen Widerspruch nicht auflöst.</w:t>
      </w:r>
    </w:p>
    <w:p>
      <w:r>
        <w:rPr>
          <w:b/>
        </w:rPr>
        <w:t>E. 7.2.4</w:t>
      </w:r>
    </w:p>
    <w:p>
      <w:r>
        <w:t>Dem vom Beschwerdeführer zum Beleg seines Alters eingereichten Identitätsdokument (Tazkara) kann praxisgemäss nur ein geringer Beweiswert beigemessen werden. Eine Tazkara enthält keine Sicherheitsmerkmale und kann deshalb einfach gefälscht werden. Auch bei Annahme der Echtheit einer Tazkara müssen die darin enthaltenen zeitlichen Angaben über das Geburtsdatum nicht dem wirklichen Alter entsprechen, da die Angabe auf einer Einschätzung des Alters aufgrund des Aussehens der Person im Zeitpunkt der Ausstellung beruhen kann (vgl. hierzu BVGE 2019 I/6 E. 6.2, bestätigt u.a. im Urteil des BVGer D-2096/2022 vom 20. Mai 2022 E. 8.3.3).</w:t>
      </w:r>
    </w:p>
    <w:p>
      <w:r>
        <w:rPr>
          <w:b/>
        </w:rPr>
        <w:t>E. 7.2.5</w:t>
      </w:r>
    </w:p>
    <w:p>
      <w:r>
        <w:t>Die Aussagen des Beschwerdeführers anlässlich der Erstbefragung zu seinem familiären Umfeld und seiner Kindheit in Afghanistan sind vage ausgefallen. Er konnte auch das ungefähre Alter seiner Verwandten kaum nennen und seine Aussagen zu prägenden Lebensereignissen (Schulzeit, Zeitpunkt geltend gemachter Fluchtgründe) zeitlich nur in sehr oberflächlicher Weise einordnen (vgl. SEM-Akten 1155525-19/12 Ziffer 1.06, 1.17.04 und 3.01). Insgesamt sind diese Angaben nicht geeignet, das Gericht von seiner Minderjährigkeit zu überzeugen.</w:t>
      </w:r>
    </w:p>
    <w:p>
      <w:r>
        <w:rPr>
          <w:b/>
        </w:rPr>
        <w:t>E. 7.2.6</w:t>
      </w:r>
    </w:p>
    <w:p>
      <w:r>
        <w:t>Die forensische Lebensaltersschätzung des Beschwerdeführers stützt ihr Ergebnis im Gutachten vom 9. Juni 2022 auf eine körperliche Untersuchung des Beschwerdeführers, die zahnärztliche Altersschätzung, die radiologische Altersschätzung des Handgelenks sowie der Schlüssel-beine. Hieraus ergab sich ein durchschnittliches Alter von 18 - 22 Jahren. Das Mindestalter betrage 17.6 Jahre, womit das vom Beschwerdeführer angegebene Alter von 16 Jahren und circa vier Monaten nicht vereinbar sei.</w:t>
      </w:r>
    </w:p>
    <w:p>
      <w:r>
        <w:rPr>
          <w:b/>
        </w:rPr>
        <w:t>E. 7.2.7</w:t>
      </w:r>
    </w:p>
    <w:p>
      <w:r>
        <w:t>Nach dem Gesagten lassen sich weder den Akten noch den Aussagen des Beschwerdeführers stichhaltige Rückschlüsse auf sein wahres Alter und insbesondere auf die Frage seiner Minder- oder Volljährigkeit im Zeitpunkt der Einreichung seines Asylgesuchs in der Schweiz entnehmen. Demgegenüber stellt das (polydisziplinäre) Altersgutachten vorliegend ein Indiz für seine Volljährigkeit dar. Dass das vom Beschwerdeführer angegebene Geburtsdatum gemäss diesem Altersgutachten nicht richtig sein kann, ist bei der Glaubhaftigkeitsprüfung der Aussagen des Beschwerdeführers zu seinem Alter zu berücksichtigen. Die Vorinstanz hat einlässlich und überzeugend begründet (S. 6 f. der angefochtenen Verfügung) anhand welcher Faktoren - insbesondere gestützt auf die Untersuchungen zum Altersgutachten und der widersprüchlichen Aussagen des Beschwerdeführers - sie die Minderjährigkeit des Beschwerdeführers verneint, worauf verwiesen werden kann.</w:t>
      </w:r>
    </w:p>
    <w:p>
      <w:r>
        <w:rPr>
          <w:b/>
        </w:rPr>
        <w:t>E. 7.2.8</w:t>
      </w:r>
    </w:p>
    <w:p>
      <w:r>
        <w:t>Diese Einschätzung wird weiter dadurch gestützt, dass in Bulgarien als Geburtsdatum eingetragen wurde, der Beschwerdeführer sei am 13. März 2001 geboren, obschon er dort angegeben haben will, er sei 16 Jahre alt. Vor diesem Hintergrund fällt auf, dass der Beschwerdeführer auf dem Personalienblatt (vgl. SEM-Akten 1155525-1/2) in der Schweiz den 13. März 2006 als Geburtsdatum nannte, womit naheliegt, dass der Beschwerdeführer sein tatsächliches Geburtsdatum entgegen seiner Aussage kennt.</w:t>
      </w:r>
    </w:p>
    <w:p>
      <w:r>
        <w:rPr>
          <w:b/>
        </w:rPr>
        <w:t>E. 7.2.9</w:t>
      </w:r>
    </w:p>
    <w:p>
      <w:r>
        <w:t>Demnach gelangt das Gericht in Übereinstimmung mit der Vorinstanz zum Schluss, dass es dem Beschwerdeführer nicht gelungen ist, die von ihm geltend gemachte Minderjährigkeit zum Zeitpunkt seiner Gesuchseinreichung in der Schweiz glaubhaft zu machen. Das Gericht geht folglich mit überwiegender Wahrscheinlichkeit von der Volljährigkeit des Beschwerdeführers aus. Vor diesem Hintergrund kann die Frage nach seinem genauen Geburtsdatum im vorliegenden Verfahren offengelassen werden und muss nicht näher geprüft werden.</w:t>
      </w:r>
    </w:p>
    <w:p>
      <w:r>
        <w:rPr>
          <w:b/>
        </w:rPr>
        <w:t>E. 7.2.10</w:t>
      </w:r>
    </w:p>
    <w:p>
      <w:r>
        <w:t>Andererseits ist festzuhalten, dass der Beschwerdeführer gemäss Aktenlage in Bulgarien ein Asylgesuch gestellt hatte. Somit ist gemäss Art. 8 Abs. 4 Dublin-III-VO dieser Staat auch dann zuständig, wenn der Beschwerdeführer bei der Gesuchseinreichung noch minderjährig gewesen sein sollte. Folglich könnte er aus seiner Minderjährigkeit die Zuständigkeit der Schweiz nicht ableiten.</w:t>
      </w:r>
    </w:p>
    <w:p>
      <w:r>
        <w:rPr>
          <w:b/>
        </w:rPr>
        <w:t>E. 7.3.1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7.3.2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hat sich in seinem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Betroffene Personen könnten gegen einen negativen Asylentscheid ein wirksames Rechtsmittel einlegen. Die Bedingungen in den Aufnahme- und Haftzentren könnten nicht als unmenschlich oder entwürdigend qualifiziert werden (a.a.O. E. 6.6.1 und E. 6.6.7). Das Bundesverwaltungsgericht geht auch heute noch praxisgemäss nicht von systemischen Mängeln im bulgarischen Asylverfahren aus (vgl. etwa Urteile des BVGer F-2956/2022 vom 14. Juli 2022 E. 6.3; D-2725/2022 vom 1. Juli 2022 E. 9.2; E-2756/2022 vom 29. Juni 2022 E. 5.5 je m.w.H.). Unter diesen Umständen ist die Anwendung von Art. 3 Abs. 2 Dublin-III-VO nicht gerechtfertigt.</w:t>
      </w:r>
    </w:p>
    <w:p>
      <w:r>
        <w:rPr>
          <w:b/>
        </w:rPr>
        <w:t>E. 7.3.3</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w:t>
      </w:r>
    </w:p>
    <w:p>
      <w:r>
        <w:rPr>
          <w:b/>
        </w:rPr>
        <w:t>E. 7.3.4</w:t>
      </w:r>
    </w:p>
    <w:p>
      <w:r>
        <w:t>Der Beschwerdeführer hat auch keine konkreten Hinweise für die Annahme dargetan, Bulgarien würde ihm dauerhaft die ihm gemäss Aufnahmerichtlinie zustehenden minimalen Lebensbedingungen vorenthalten. Bei einer allfälligen vorübergehenden Einschränkung ist er im Übrigen gehalten, sich an die dafür zuständigen Behörden zu wenden und die ihm zustehenden Aufnahmebedingungen auf dem Rechtsweg einzufordern (vgl. Art. 26 der Aufnahmerichtlinie). Es sind keine konkreten Anhaltspunkte dafür ersichtlich, der Beschwerdeführer geriete im Falle einer Überstellung wegen der dortigen Aufenthaltsbedingungen in eine existenzielle Notlage.</w:t>
      </w:r>
    </w:p>
    <w:p>
      <w:r>
        <w:rPr>
          <w:b/>
        </w:rPr>
        <w:t>E. 7.3.5</w:t>
      </w:r>
    </w:p>
    <w:p>
      <w:r>
        <w:t>Soweit der Beschwerdeführer vorbringt, in Bulgarien schlecht behandelt worden zu sein, bleibt dies ohnehin unbelegt und seine Äusserungen hierzu vage. Überdies wird sich der Beschwerdeführer nach seiner Überstellung in einer anderen Situation als bei seiner ersten Einreise nach Bulgarien befinden. Sodann ist er, wie eben gesehen, bei einer ungerechten Behandlung durch eine Behörde gehalten, seinen Schutz rechtlich einzufordern.</w:t>
      </w:r>
    </w:p>
    <w:p>
      <w:r>
        <w:rPr>
          <w:b/>
        </w:rPr>
        <w:t>E. 7.3.6</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7.3.7</w:t>
      </w:r>
    </w:p>
    <w:p>
      <w:r>
        <w:t>Das SEM hat in der angefochtenen Verfügung die Äusserungen des Beschwerdeführers berücksichtigt und seinen persönlichen Umständen Rechnung getragen (vgl. vorinstanzliche Verfügung S. 5 ff.). Den Akten sind keine Hinweise auf eine gesetzeswidrige Ermessensausübung (Art. 106 Abs. 1 Bst. a und Bst. b AsylG) durch die Vorinstanz zu entnehmen. Es hat somit innerhalb seines Ermessensspielraums gehandelt, welcher im Ergebnis vom Bundesverwaltungsgericht nicht mehr überprüft werden kann, weshalb es sich weiterer Ausführungen zur Frage eines Selbsteintritts enthält.</w:t>
      </w:r>
    </w:p>
    <w:p>
      <w:r>
        <w:rPr>
          <w:b/>
        </w:rPr>
        <w:t>E. 7.3.8</w:t>
      </w:r>
    </w:p>
    <w:p>
      <w:r>
        <w:t>Nach dem Gesagten besteht kein Grund für eine Anwendung der Ermessensklauseln von Art. 17 Dublin-III-VO. Es ist festzuhalten, dass die Dublin-III-VO den Schutzsuchenden kein Recht einräumt, den ihren Antrag prüfenden Staat selber auszuwählen (vgl. auch BVGE 2010/45 E. 8.3).</w:t>
      </w:r>
    </w:p>
    <w:p>
      <w:r>
        <w:rPr>
          <w:b/>
        </w:rPr>
        <w:t>E. 7.4</w:t>
      </w:r>
    </w:p>
    <w:p>
      <w:r>
        <w:t>Somit bleibt Bulgarien der für die Behandlung des Asylgesuchs des Beschwerdeführers zuständige Mitgliedstaat gemäss Dublin-III-VO. Bulgarien ist verpflichtet, das Asylverfahren gemäss Art. 23, 24,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Mit dem vorliegenden Urteil ist das Beschwerdeverfahren abgeschlossen, weshalb der Antrag auf Erteilung der aufschiebenden Wirkung und das Gesuch um Verzicht auf die Erhebung eines Kostenvorschusses gegenstandslos geworden sind. Der mit superprovisorischer Massnahme vom 4. August 2022 angeordnete Vollzugsstopp fällt dahin.</w:t>
      </w:r>
    </w:p>
    <w:p>
      <w:r>
        <w:rPr>
          <w:b/>
        </w:rPr>
        <w:t>E. 12</w:t>
      </w:r>
    </w:p>
    <w:p>
      <w:r>
        <w:t>Das Gesuch um Gewährung der unentgeltlichen Prozessführung ist gemäss Art. 65 Abs. 1 VwVG gutzuheissen. Demnach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