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D-3243/2012 vom 26. August 2013</w:t>
      </w:r>
    </w:p>
    <w:p>
      <w:r>
        <w:t>Bundesverwaltungsgericht, 2013-08-26, DE</w:t>
      </w:r>
    </w:p>
    <w:p>
      <w:r>
        <w:rPr>
          <w:b/>
        </w:rPr>
        <w:t xml:space="preserve">Quelle: </w:t>
      </w:r>
      <w:r>
        <w:t>https://mcp.opencaselaw.ch/entscheid/bvger_D-3243_2012</w:t>
      </w:r>
    </w:p>
    <w:p>
      <w:r>
        <w:t>FR: TAF D-3243/2012 du 26 août 2013</w:t>
      </w:r>
    </w:p>
    <w:p>
      <w:r>
        <w:t>IT: TAF D-3243/2012 del 26 agosto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sind die formellen Rügen vorab zu prüfen, da diese gege­benenfalls zur Kassation der vorinstanzlichen Verfügung führen kön­nen.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 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3.4</w:t>
      </w:r>
    </w:p>
    <w:p>
      <w:r>
        <w:t>Der Beschwerdeführer rügt, die geltend gemachte Reflexverfolgung wegen B._______ sei vom BFM ungenügend abgeklärt worden. Diese Sichtweise ist indes nicht zu teilen. Diesbezüglich ist insbesondere darauf hinzuweisen, dass im Rahmen eines zweiten Asylgesuches (wie im Übrigen auch im ausserordentlichen Verfahren) den Gesuchstellenden eine Substanziierungspflicht obliegt. Hinweise auf neue Ereignisse müssen konkretisiert werden; es genügt nicht, auf eine theoretisch bestehende Möglichkeit der Gefährdung hinzuweisen. Die Behauptung des Beschwerdeführers, eine Substanziierung seiner angeblichen Furcht vor zukünftiger Verfolgung sei erst nach Einsicht in die Verfahrensakten von B._______ möglich, ist in keiner Weise nachvollziehbar, zumal der Beschwerdeführer offensichtlich die Möglichkeit hatte, sich bei seiner Verlobten über deren Asylvorbringen zu erkundigen. In diesem Zusammenhang verweist das BFM in der Vernehmlassung sodann zu Recht auf Art. 27 Abs. 1 Bst. c VwVG, wonach eine Einsichtnahme durch den Beschwerdeführer aufgrund des damals noch erstinstanzlich hängigen Verfahrens von B._______ vor Abschluss der Untersuchungsmassnahmen ohnehin nicht in Betracht gekommen wäre. Aufgrund der gegebenen Umstände konnte auch in zulässiger Weise von einer zusammenfassenden Inhaltsangabe abgesehen werden. Insgesamt ist entgegen den Beschwerdeargumenten die Begründungspflicht oder das rechtliche Gehör des Beschwerdeführers nicht verletzt worden. Daran vermag auch nichts zu ändern, dass das BFM gemäss Vernehmlassung die Akten von B._______ berücksichtigt hat, zumal das Verfahren von B._______ ohnehin vom gleichen Sachbearbeiter geführt wurde wie das zweite Asylgesuch des Beschwerdeführers, weshalb der Sachbearbeiter bereits deshalb Kenntnis der Akten von B._______ gehabt haben dürfte. Zudem hatte auch der Rechtsvertreter des Beschwerdeführers zwischenzeitlich Einsicht in die Verfahrensakten von B._______, zumal er auch in jenem Asylverfahren als Rechtsvertreter auftritt. Auch im Übrigen ist die Begründungsdichte in der Verfügung des BFM nicht zu beanstanden; die Parteivorbringen wurden genügend gewürdigt und der Beschwerdeführer war insgesamt in der Lage, das erstinstanzliche Urteil sachgerecht anzufechten. Der Umstand alleine, dass der Beschwerdeführer eine andere rechtliche Würdigung der Sachumstände für richtig hält, vermag jedenfalls weder eine Verletzung der Untersuchungspflicht noch eine Verletzung der Begründungspflicht darzustellen. Im Weiteren ergehen die Entscheide des BFM gestützt auf das Amtswissen, welches seinerseits auf der Berücksichtigung aktueller Quellen und neuer Erkenntnisse beruht. Entsprechend war das BFM nicht gehalten, auf den nicht einzelfallspezifischen Abklärungsantrag zur Situation der tamilischen Diaspora einzugehen beziehungsweise eine solche Abklärung durchzuführen. Entgegen dem Beschwerdevorbringen drängte sich auch keine erneute Anhörung auf, zumal dem Beschwerdeführer Gelegenheit zur Substanziierung seiner Vorbringen eingeräumt worden war (vgl. Art. 36 Abs. 2 AsylG). Schliesslich lastet der Beschwerdeführer dem BFM an, es lege seine Länderinformationen nicht hinreichend offen beziehungsweise formuliere keine genauen Quellenangaben. In diesem Zusammenhang gilt es festzuhalten, dass Fachwissen als solches wie etwa Kenntnisse über das Herkunftsland nicht ediert werden kann. Eine Offenlegung beziehungsweise eine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vorliegende Verfügung genügt diesen Ansprüchen.</w:t>
      </w:r>
    </w:p>
    <w:p>
      <w:r>
        <w:rPr>
          <w:b/>
        </w:rPr>
        <w:t>E. 3.5</w:t>
      </w:r>
    </w:p>
    <w:p>
      <w:r>
        <w:t>Aus den vorstehenden Erwägungen ergibt sich, dass keine Verletzun­gen der Verfahrensgarantien vorliegen. Demnach kommt die Rückweisung der Sache an das BFM nicht in Betracht (vgl. dazu auch E. 7.4 nachste­hend).</w:t>
      </w:r>
    </w:p>
    <w:p>
      <w:r>
        <w:rPr>
          <w:b/>
        </w:rPr>
        <w:t>E. 4</w:t>
      </w:r>
    </w:p>
    <w:p>
      <w:r>
        <w:t>Unter Hinweis auf die Mitwirkungspflicht gemäss Art. 8 AsylG und in Anbet­racht des Zeitablaufs kann auf die Ansetzung einer Frist zur Einrei­chung weiterer Beweismittel verzichtet werden.</w:t>
      </w:r>
    </w:p>
    <w:p>
      <w:r>
        <w:rPr>
          <w:b/>
        </w:rPr>
        <w:t>E. 5</w:t>
      </w:r>
    </w:p>
    <w:p>
      <w:r>
        <w:t>Bei Beschwerden gegen Nichteintretensentscheide, mit denen es das BFM ablehnt, das Asylgesuch auf seine Begründetheit hin zu überprüfen (Art. 32 - 35 AsylG), ist die Beurteilungskompetenz der Beschwerdein­stanz im Asylpunkt grundsätzlich auf die Frage beschränkt, ob die Vorin­stanz zu Recht auf das Asylgesuch nicht eingetreten ist (vgl. BVGE 2011/9 E. 5 S. 116). Auf die entsprechenden Anträge, die Flüchtlingseigenschaft sei anzuerkennen und Asyl zu gewähren, ist daher nicht einzutreten.</w:t>
      </w:r>
    </w:p>
    <w:p>
      <w:r>
        <w:rPr>
          <w:b/>
        </w:rPr>
        <w:t>E. 6.1</w:t>
      </w:r>
    </w:p>
    <w:p>
      <w:r>
        <w:t>Der Beschwerdeführer hat in der Schweiz unbestrittenermassen be­reits ein Asylverfah­ren durchlaufen und ist nach dessen Abschluss nicht ins Heimatland zurückgekehrt, so dass die formellen Voraussetzungen von Art. 32 Abs. 2 Bst. e AsylG grundsätzlich erfüllt sind.</w:t>
      </w:r>
    </w:p>
    <w:p>
      <w:r>
        <w:rPr>
          <w:b/>
        </w:rPr>
        <w:t>E. 6.2</w:t>
      </w:r>
    </w:p>
    <w:p>
      <w:r>
        <w:t>Als Nächstes ist in Anwendung dieser Gesetzesbestim­mung summa­risch zu prüfen, ob Hinweise auf zwi­schen­zeitlich eingetretene Ereignisse vorliegen, die geeignet sind, die Flüchtlingseigenschaft zu begründen, oder die für die Gewährung des vorü­bergehenden Schutzes relevant sind.</w:t>
      </w:r>
    </w:p>
    <w:p>
      <w:r>
        <w:rPr>
          <w:b/>
        </w:rPr>
        <w:t>E. 6.3</w:t>
      </w:r>
    </w:p>
    <w:p>
      <w:r>
        <w:t>Bei der Prüfung, ob Hinweise auf Ereignisse vorliegen, welche geeig­net sind, die Flüchtlingseigenschaft zu begründen, ist vom engen Verfol­gungsbegriff im Sinne von Art. 3 AsylG auszugehen. Gleichzeitig gelangt ein gegenüber der Glaubhaftmachung reduzierter Beweismassstab zur An­wendung: Es reicht aus, wenn sich Hinweise auf eine relevante Verfol­gung ergeben, welche nicht von vornherein haltlos sind (vgl. BVGE 2009/53 E. 4.2 S. 769, mit weiteren Hinweisen).</w:t>
      </w:r>
    </w:p>
    <w:p>
      <w:r>
        <w:rPr>
          <w:b/>
        </w:rPr>
        <w:t>E. 6.4</w:t>
      </w:r>
    </w:p>
    <w:p>
      <w:r>
        <w:t>Es ist vorauszuschicken, dass das BFM bezüglich der angeblich zur Verfügung stehenden Zeugen und Akten aus Frankreich zu Recht darauf hinwies, diese Behauptung vermöge die bisherigen ausführlichen Erwägungen zur Unglaubhaftigkeit der Fluchtgründe nicht in einem anderen Licht erscheinen zu lassen, zumal es der Beschwerdeführer bis heute unterliess, entsprechende Beweismittel einzureichen. Die Frage, unter welchem Titel diese zu prüfen wären, kann unter diesen Umständen offen bleiben. Soweit sich die als zweites Asylgesuch bezeichnete Eingabe im Übrigen auf Vorkommnisse und Beweismittel bezieht, welche sich vor dem 27. Dezember 2011 ereignet haben, sind diese für das vorliegende Verfahren unbeachtlich. Auf die Ansetzung einer Frist zur Substanziierung von Revisionsgründen ist im vorliegenden Beschwerdeverfahren zu verzichten.</w:t>
      </w:r>
    </w:p>
    <w:p>
      <w:r>
        <w:rPr>
          <w:b/>
        </w:rPr>
        <w:t>E. 7.1</w:t>
      </w:r>
    </w:p>
    <w:p>
      <w:r>
        <w:t>Mit Bezug auf die seit dem 27. Dezember 2011 eingetretenen Ereig­nisse verneinte die Vorinstanz das Vorliegen einer Gefährdungslage des Be­schwerdeführers in ausführlichen und korrekten Erwägungen.</w:t>
      </w:r>
    </w:p>
    <w:p>
      <w:r>
        <w:rPr>
          <w:b/>
        </w:rPr>
        <w:t>E. 7.2</w:t>
      </w:r>
    </w:p>
    <w:p>
      <w:r>
        <w:t>Der Beschwerdeführer stellte zwar zu Recht fest, dass sich der letzte Grundsatzentscheid des Bundesverwaltungsgerichts und die erwähnte Praxis des EGMR auf Quellenmaterial vor dem Jahr 2012 abstützen. Ungeachtet dessen erfolgt die Prüfung der Zugehörigkeit zu den vom Bun­desverwaltungsgericht definierten Risikogruppen aber naheliegender­weise sowohl in Anwendung der im Grundsatzentscheid definierten Krite­rien als auch mittels Evaluation des vorhandenen neuen Quellenmateri­als. Vor diesem Hintergrund haben die im Grundsatzentscheid definierten Risikogruppen im Wesentlichen nach wie vor Bestand, und eine allfällige Zugehörigkeit des Beschwerdeführers zu einer solchen ist in der erforderlichen Einzelfallabklärung zu eruieren.</w:t>
      </w:r>
    </w:p>
    <w:p>
      <w:r>
        <w:rPr>
          <w:b/>
        </w:rPr>
        <w:t>E. 7.3</w:t>
      </w:r>
    </w:p>
    <w:p>
      <w:r>
        <w:t>Dem Beschwerdeführer ist es im ersten Asylverfahren nicht gelungen, seine Zugehörigkeit zu einer Risikogruppe glaubhaft darzulegen (vgl. Bst. B.c vorstehend). Im zweiten Asylverfahren macht er die geplante Heirat mit B._______ geltend, was aufgrund des Profils seiner Verlobten zu sei­ner Reflexverfolgung führe. Dass ein Ehevorbereitungsverfahren eingelei­tet wurde, ist zwar unbestritten. Hingegen ist den verfügbaren Akten zu­folge bisher noch kein Eheschluss erfolgt. Im Weiteren hat das BFM das Asylgesuch von B._______ mittlerweile abgelehnt. Eine Beschwerde ist hängig (Verfahren [...]), weshalb hier Erörterungen zum allfällig vorhande­nen beziehungsweise nicht vorhandenen Risikoprofil von B._______ zu unterbleiben haben. Weder im erstinstanzlichen Verfahren noch auf Re­kursebene sind aber substanziierte Argumente ersichtlich, welche auf die geltend gemachte Gefährdung des noch ledigen Beschwerdeführers hindeuten würden. So ist entgegen den Beschwerdevorbringen nicht davon auszugehen, dass die sri-lankischen Behörden von der Ehevorbereitung Kenntnis erlangt haben. Dass allein schon die persönlichen Kontakte mit B._______ in der Schweiz zu einem Risiko zu führen vermöchten - was allenfalls dann der Fall sein könnte, wenn es sich bei B._______ um ein hohes LTTE-Kader handeln würde -, wird nicht geltend gemacht. Ferner mag zutreffen, dass der Beschwerdeführer eine Geldspende an eine Person aus LTTE-Kreisen ge­macht hat. Die weiteren diesbezüglichen Vorbringen zur Übermittlung des Geldes über mehrere Mittelsmänner und dazu, dass dennoch die begünstigte Person den Behörden den Beschwerdeführer als Spender genannt haben soll, wirken ausgesprochen konstruiert und lassen als blosse Behauptungen wiederum keine ernsthaften Hinweise auf ein Risikoprofil im Sinne der aktuellen Rechtsprechung erkennen. Schliesslich ist mit dem BFM auch davon auszugehen, dass ein allfälliges exilpolitisches Engagement des Beschwerdeführers jedenfalls nicht in exponierter Position ausgeübt wurde, beschränkt er sich doch in seiner Substanziierung darauf, einzelne Demonstrationen, an denen er angeblich teilgenommen habe, aufzuzählen. Allein die vereinzelte Teilnahme an Demonstrationen vermag jedoch - un­besehen der ferner geltend gemachten Abgabe von Fotos an die sri-lankischen Behörden im Rahmen der Papierbeschaffung - wiederum keine ernsthaften Hinweise auf eine konkrete Gefährdung zu begründen.</w:t>
      </w:r>
    </w:p>
    <w:p>
      <w:r>
        <w:rPr>
          <w:b/>
        </w:rPr>
        <w:t>E. 7.4</w:t>
      </w:r>
    </w:p>
    <w:p>
      <w:r>
        <w:t>Die weiteren Gründe des zweiten Asylgesuchs beschränken sich im Wesentlichen und unter Hinweis auf zahlreiche Beweismittel darauf, eine generelle Gefahr für rückkehrenden Tamilen festzuhalten. Eine solche generelle Gefährdung vermag das Bundesverwaltungsgericht auch in seiner jüngsten Praxis jedoch nicht zu erkennen, vielmehr bedarf es eines entsprechenden Profils um eine Furcht vor Verfolgung als objektiv begründet zu erachten (vgl. statt vieler Urteil des Bundesverwaltungsgerichts D-920/2012 vom 19. Juli 2013). Ein solches Risikoprofil vermag der Beschwerdeführer gemäss den bisherigen Erwägungen jedoch nicht aufzuweisen. Schliesslich vermögen auch die auf Beschwerdeebene geltend gemachten politischen Drohungen daran nichts zu ändern, zumal es sich dabei lediglich um ein in pauschaler und nicht weiter substantiierter Weise geäussertes Vorbringen ohne persönliche Betroffenheit des Beschwerdeführers handelt, so dass nicht ersichtlich ist, inwiefern sich daraus eine Gefährdung für den Be­schwerdeführer ableiten lässt.</w:t>
      </w:r>
    </w:p>
    <w:p>
      <w:r>
        <w:rPr>
          <w:b/>
        </w:rPr>
        <w:t>E. 7.5</w:t>
      </w:r>
    </w:p>
    <w:p>
      <w:r>
        <w:t>Das BFM ist daher auf das neuerliche Asylgesuch des Beschwerdefüh­rers zu Recht nicht eingetreten. Hinweise, wonach in der Zwischenzeit Ereignisse eingetreten wären, die geeignet sind, die Flücht­lings­eigen­schaft zu begründen, liegen nicht vor. Bei dieser Sachlage kann davon abgesehen werden, auf weitere Beschwerdevorbringen näher einzu­gehen.</w:t>
      </w:r>
    </w:p>
    <w:p>
      <w:r>
        <w:rPr>
          <w:b/>
        </w:rPr>
        <w:t>E. 8</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vgl. BVGE 2009/50 E. 9 S.733). Insbesondere auch das Ehevorbereitungsverfahren vermag einen Anspruch auf Verbleib in der Schweiz nicht zu begründen. Die Wegweisung wurde demnach zu Recht verfügt.</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Aus den Aussagen des Be­schwerdeführers und den Akten ergeben sich aufgrund der bisherigen Erwägungen auch keine konkreten Anhalts­punkte dafür, dass er für den Fall einer Ausschaffung nach Sri Lanka dort mit beachtlicher Wahrscheinlichkeit einer nach Art. 3 EMRK oder Art. 1 FoK verbotenen Strafe oder Behandlung ausgesetzt wäre. Der Vollzug der Wegweisung ist somit zulässig.</w:t>
      </w:r>
    </w:p>
    <w:p>
      <w:r>
        <w:rPr>
          <w:b/>
        </w:rPr>
        <w:t>E. 9.2</w:t>
      </w:r>
    </w:p>
    <w:p>
      <w:r>
        <w:t>Nach Art. 83 Abs. 4 AuG kann der Vollzug für Ausländerinnen und Aus­länder unzumutbar sein, wenn sie im Heimat- oder Herkunftsstaat auf Grund von Situationen wie Krieg, Bürgerkrieg, allgemeiner Gewalt und medi­zinischer Notlage konkret gefährdet sind (vgl. BVGE 2009/28 E. 9.3.1).</w:t>
      </w:r>
    </w:p>
    <w:p>
      <w:r>
        <w:rPr>
          <w:b/>
        </w:rPr>
        <w:t>E. 9.2.1</w:t>
      </w:r>
    </w:p>
    <w:p>
      <w:r>
        <w:t>Das Bundesverwaltungsgericht hat in BVGE 2011/24 eine umfas­sende Analyse der Situation in Sri Lanka vorgenommen. Dabei gelangte es zum Schluss, dass der Vollzug der Wegweisung in alle Landesteile Sri Lankas, insbesondere in den Grossraum Colombo, grundsätzlich zumut­bar ist. Ausnahme bildet die Nordprovinz, wo der Vollzug ins Vanni-Gebiet unzumutbar ist. Bezüglich der übrigen Nordprovinz ist der Vollzug nicht ge­nerell unzumutbar, sondern es muss im Einzelfall eine zurückhaltende Be­urteilung der individuellen Zumutbarkeitskriterien vorgenommen wer­den.</w:t>
      </w:r>
    </w:p>
    <w:p>
      <w:r>
        <w:rPr>
          <w:b/>
        </w:rPr>
        <w:t>E. 9.2.2</w:t>
      </w:r>
    </w:p>
    <w:p>
      <w:r>
        <w:t>Zur Vermeidung von Wiederholungen kann auf das Urteil des Bundes­verwaltungsgericht D-2996/2009 vom 27. Dezember 2011 E. 4.5.6 verwiesen werden, in welchem der Vollzug der Wegweisung für den Be­schwerdeführer nach Prüfung der Gesamtumstände und der Praxis als zu­mutbar beurteilt wurde. Anhaltspunkte dafür, dass sich die Situation für den Beschwerdeführer entscheidrelevant verändert hätte, bestehen nicht.</w:t>
      </w:r>
    </w:p>
    <w:p>
      <w:r>
        <w:rPr>
          <w:b/>
        </w:rPr>
        <w:t>E. 9.2.3</w:t>
      </w:r>
    </w:p>
    <w:p>
      <w:r>
        <w:t>Nach dem Gesagten erweist sich der Vollzug der Wegweisung auch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9.4</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Bei diesem Ausgang des Verfahrens wären die Kosten dem Beschwer­de­füh­rer aufzuerlegen (Art. 63 Abs. 1 VwVG). Nachdem sein Ge­such im Sinne von Art. 65 Abs. 1 VwVG mit Zwischenverfügung vom 10. Juli 2013 gutgeheissen wurde,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