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D-3242/2014 vom 3. Dezember 2014</w:t>
      </w:r>
    </w:p>
    <w:p>
      <w:r>
        <w:t>Bundesverwaltungsgericht, 2014-12-03, DE</w:t>
      </w:r>
    </w:p>
    <w:p>
      <w:r>
        <w:rPr>
          <w:b/>
        </w:rPr>
        <w:t xml:space="preserve">Quelle: </w:t>
      </w:r>
      <w:r>
        <w:t>https://mcp.opencaselaw.ch/entscheid/bvger_D-3242_2014</w:t>
      </w:r>
    </w:p>
    <w:p>
      <w:r>
        <w:t>FR: TAF D-3242/2014 du 3 décembre 2014</w:t>
      </w:r>
    </w:p>
    <w:p>
      <w:r>
        <w:t>IT: TAF D-3242/2014 del 3 dicembre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soweit die Aufhebung der Dispositivziffern 1, 2 und 3 betroffen ist.</w:t>
      </w:r>
    </w:p>
    <w:p>
      <w:r>
        <w:rPr>
          <w:b/>
        </w:rPr>
        <w:t>E. 1.4</w:t>
      </w:r>
    </w:p>
    <w:p>
      <w:r>
        <w:t>Hinsichtlich der Anträge betreffend den Wegweisungsvollzug ist festzuhalten, dass ein diesbezügliches Rechtsschutzinteresse zu verneinen ist. Die Wegweisungsvollzugshindernisse gemäss Art. 44 Abs. 2 AsylG und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Beschwerdeführenden hinsichtlich der Prüfung zusätzlicher individueller Vollzugshindernisse ist folglich zu verneinen. Auf die den Wegweisungsvollzugspunkt betreffenden Anträge in der Beschwerde ist somit nicht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Beschwerdeführenden begründeten ihr Gesuch damit, dass sie ethnische Kurden seien und zuletzt in F._______ in E._______ (Syrien) gelebt hätten. Die Beschwerdeführerin sei (...) Mitglied der Baath-Partei gewesen. (...), habe man sie an Parteisitzungen teilnehmen lassen und ihr eine Anstellung bei einer (...) ermöglicht. Sie habe an diversen Parteiaktivitäten teilgenommen. Da sie wegen der allgemeinen Sicherheitslage teilweise an Sitzungen gefehlt habe, habe sie zwei Verwarnungen erhalten. Man habe von ihr und ihren Mitarbeitenden ferner verlangt, an Demonstrationen für den Präsidenten teilzunehmen, zuletzt (...) 2012, ansonsten man sie entlassen hätte. Aufgrund der Teilnahme fürchte sie sich vor der Freien Syrischen Armee. Der Sicherheitsdienst habe an ihrer Arbeitsstelle Informationen über die Mitarbeitenden gesammelt. Sie habe zudem Gedichte verfasst, die sich gegen den Präsidenten richten würden und von der Revolution sprächen. Sie habe die Gedichte einigen Personen vorgetragen und veröffentliche sie seit ihrer Ausreise auf ihrer Facebookseite. Ihr Direktor habe sie einmal darauf angesprochen und gesagt, mit den Gedichten vorsichtig zu sein, woraufhin sie befürchtet habe, bald von den Sicherheitsbehörden festgenommen zu werden. Aufgrund der sich verschlechternden Sicherheitslage habe sie sich zur Ausreise entschlossen. (...) 2013 sei sie zusammen mit ihrer Schwiegermutter in G._______ sieben Stunden von Anhängern der Jabhat El-Nussra angehalten worden. Man habe die Busreisenden aufgefordert, gegen den Präsidenten zu demonstrieren und davon Filmaufnahmen gemacht. Da sie ihre Arbeitsstelle verlassen habe, werde sie von der Regierung als Oppositionelle betrachtet. Der Beschwerdeführer machte seinerseits geltend, das Land wegen der Probleme seiner Frau und wegen der Kämpfe verlassen zu haben. Ein- bis zweimal habe die PKK ihn dazu aufgefordert, in der Nacht an einem Kontrollposten zu stehen. Er habe dies abgelehnt, weswegen er bis nach Sonnenuntergang festgehalten worden sei. Die PKK habe ihn auch einmal dazu gedrängt, Almosen zu bezahlen. Als Beweismittel reichten die Beschwerdeführenden ihre Identitätskarten und das Familienbüchlein sowie ein Schreiben, welches bestätige, dass die Beschwerdeführerin Ferien beantragt habe, zu den Akten. 4.2 Das BFM begründete seine Verfügung damit, dass die Verwarnungen, welche die Beschwerdeführerin erhalten habe, aufgrund mangelnder Intensität nicht asylrelevant seien. So seien in diesem Zusammenhang weder Drohungen ausgesprochen worden noch sei es zu einem Behördenkontakt gekommen. Die erzwungene Teilnahme an einer Demonstration für den Präsidenten sowie das Festhalten durch die Jabhat El-Nussra sei keine gezielte Verfolgung, sondern vielmehr durch die aktuelle Lage im Heimatstaat bedingt. Die Aufforderungen an den Beschwerdeführer seitens der PKK, Wache zu stehen und Almosen zu bezahlen, seien in ihrer Intensität nicht asylbeachtlich. Zudem handle es sich auch dabei um Nachteile, die er im Rahmen der aktuellen Lage in Syrien erlitten habe. Das exilpolitische Engagement der Beschwerdeführerin sei zu wenig exponierend, als dass zu erwarten wäre, sie sei dadurch in den Fokus der syrischen Behörden geraten, zumal die Veröffentlichung der Gedichte auf dem Facebookprofil allein noch keine Exponierung bedeute. 4.3 Diesen Erwägungen wurde in der Beschwerdeschrift entgegnet, dass BFM habe den Beschwerdeführenden nur ungenügende Einsicht in die Akten gewährt, da der interne Antrag hinsichtlich der vorläufigen Aufnahme nicht offengelegt worden sei, wodurch der Anspruch auf rechtliches Gehör verletzt worden sei. Mit dem Hinweis auf die "dortige Sicherheitslage" sei das BFM seiner Begründungspflicht nur unzureichend nachgekommen, da offensichtlich keine konkrete Würdigung des Einzelfalles erfolgt sei. Es könne angenommen werden, das BFM habe Kriterien der Flüchtlingseigenschaft mit den Vollzugshindernissen vermischt. Des Weiteren sei auch der Umstand, dass das Haus der Beschwerdeführenden bombardiert worden sei und dass sie zuletzt Wohnsitz im kriegsversehrten E._______ gehabt hätten, unerwähnt geblieben. Das BFM habe wesentliche Teile der Vorbringen ignoriert. So habe die Beschwerdeführerin ausgeführt, der Direktor ihrer (...) sei regimetreu gewesen und die Behörden seien der Meinung, sie habe sich von der Partei und ihrer staatlichen Arbeitsstelle losgesagt, wodurch sie als Oppositionelle betrachtet werde. Unerwähnt geblieben sei auch das Vorbringen, dass die Kurden in einer besonders schwierigen Position seien, da sie sowohl vom Regime als auch von der Freien Syrischen Armee verfolgt würden. So habe die Beschwerdeführerin vorgebracht, aufgrund ihrer Teilnahme an propräsidialen Demonstrationen werde sie als Loyalistin betrachtet, wodurch sie Gefahr laufe, von der Freien Syrischen Armee gezielt getötet zu werden. Das BFM habe auch nicht erwähnt, dass sie im Zusammenhang mit einem Fälschungsdelikt vorgeladen worden sei. Dies­bezüglich sei bemerkenswert, dass das BFM die Beschwerdeführerin bei diesen Ausführungen anlässlich der Anhörung unterbrochen und das Thema gewechselt habe, wodurch es seiner Abklärungspflicht nur ungenügend nachgekommen sei. Sie habe schliesslich auch ausdrücklich erwähnt, sie habe noch nicht sämtliche Asylgründe vorbringen können, sei daraufhin aber unterbrochen worden. Hinsichtlich des Beschwerdeführers sei dem Umstand keine Rechnung getragen worden, dass er wiederholt auf seine Probleme aufgrund seiner arabisch-kurdischen Herkunft verwiesen habe. Somit habe das BFM erneut den Anspruch auf rechtliches Gehör verletzt. Das BFM habe zudem die Akten der Visagesuche nicht beigezogen. Zum Argument der Vorinstanz, die Verwarnungen seien nicht asylrelevant, sei zu bemerken, dass diese Verwarnungen durchaus mit Drohungen verbunden gewesen seien, was aus dem Anhörungsprotokoll hervorgehe. Diese Verwarnungen würden die Furcht der Beschwerdeführerin vor einer asylrelevanten Verfolgung daher als begründet erscheinen lassen. Die Behauptung, es sei zu keinem Behördenkontakt gekommen, sei absurd, zumal die Beschwerdeführer ausgeführt habe, ihr Direktor sei regimetreu, wodurch er mit der Regierung konkret verbandelt sei, was einen indirekten Behördenkontakt darstelle. Ihr drohe sowohl eine gezielte Verfolgung seitens des Regimes als auch der Opposition und es sei nicht ersichtlich, wieso eine Verfolgung durch die Freie Syrische Armee nicht asylbeachtlich sein solle, zumal diese Gruppierung regelmässig (vermeintlich) regimetreue Personen, insbesondere Kurden, angegriffen habe. Das Amt des Hohen Flüchtlingskommissars der Vereinten Nationen (UNHCR) halte fest, dass es zur Bejahung der Flüchtlingseigenschaft im syrischen Kontext keiner bereits stattgefundenen gezielten Verfolgung bedürfe und dass die diesbezügliche Schwelle tief anzusetzen sei. Bereits geringste Verbindungen zur Opposition oder der blosse Verdacht einer solchen würden ausreichen. Die Beschwerdeführerin sei mehrfach verwarnt worden, habe regimekritische Gedichte verfasst und betätige sich exilpolitisch. Der Beschwerdeführer werde mit der PKK in Verbindung gebracht, und die Beschwerdeführenden seien aus Syrien geflohen. Dies reiche zur Erfüllung der Flüchtlingseigenschaft aus. Zum exilpolitischen Engagement gelte es vorauszuschicken, dass Syrer lediglich beschränkte Möglichkeiten hätten, ihre Ansichten zu veröffentlichen. Aus der Facebookpräsenz der Beschwerdeführerin werde ersichtlich, dass sie sich gegen das syrische Regime und für die kurdische Sache einsetze und diesbezügliche Gedichte veröffentliche, in welchen es um den Bürgerkrieg und dessen Auswirkungen gehe. Dadurch exponiere sie sich in künstlerischer und individueller Weise, wofür sie bereits in Syrien verwarnt worden sei. Darüber hinaus kritisiere sie die im Krieg begangenen Verbrechen etwa durch das Posten von Videos, welche das Leid der Bevölkerung dokumentieren würden. Das Facebookprofil laute auf den richtigen Namen der Beschwerdeführerin, das Profilbild zeige die Beschwerdeführenden und im Infobereich werde der derzeitige Wohnort in der Schweiz kommuniziert. Die Beschwerdeführerin solidarisiere sich mittels des "Gefällt-Mir-Button" ferner mit dem Facebook-Profil "Kurden Daily News", welches sich explizit für Kurdistan einsetze, Gleichgesinnte vernetze und in massiver Weise die Verbrechen des Assad-Regimes anprangere. Sie arbeite im Übrigen auch daran, ihre Gedichte auf Deutsch übersetzen und veröffentlichen zu lassen und schreibe derzeit an zwei Gedichtbänden. Das BFM stütze sich bei der Verneinung subjektiver Nach­fluchtgründe auf veraltete Annahmen, da mittlerweile auch das Bundesverwaltungsgericht die Schwelle für die Erfüllung solcher Gründe tief ansetze. Die Überwachung von Exilsyrern sei in der Schweiz besonders intensiv, da etwa die Syrien-Friedenskonferenz hier stattgefunden habe. Die Demonstrationen und Gegendemonstrationen rund um diesen Anlass seien im Internet ausführlich dokumentiert, was belege, dass die Konfliktparteien ein reges Interesse daran hätten. Aus der Entwicklung des Bürgerkriegs werde klar, dass sich Assad an der Macht halten könne und eine Besserung der Situation für Regimegegner in absehbarer Zeit nicht eintreten werde. Die Revolution werde auch weiterhin vom "einfachen Mann" getragen und die Auftritte von Regimegegnern auf der Strasse und im Internet würden weiterhin von der Regierung genauestens wahrgenommen. Das Regime versuche weiterhin mit allen Mitteln, Oppositionelle zu identifizieren und gezielt zu verfolgen. Bei einer Rückkehr von einem längeren Auslandaufenthalt sei eine ausführliche Befragung die Regel und beim "Aussortieren" von Oppositionellen werde bisweilen willkürlich vorgegangen. Dabei sei insbesondere die Volksgruppe der Kurden ständigem Misstrauen ausgesetzt und aufgrund der Vernetzung der Kurden untereinander besitze der Geheimdienst meist bereits Informationen über Rückkehrende. Die Stadt E._______ werde durch den Krieg stark in Mitleidenschaft gezogen und sei weiterhin umkämpft. Nebst Regierungstruppen und Rebellengruppierungen würden vermehrt auch radikale Islamisten, die für ihr brutales Vorgehen bekannt seien, am Konflikt teilnehmen. Auch die Beschwerdeführenden seien bereits von verschiedenen Konfliktparteien bedroht, bedrängt und verwarnt worden. 4.4 In der Vernehmlassung vom 7. Juli 2014 führte das BFM zum Vorbringen hinsichtlich der polizeilichen Vorladung der Beschwerdeführerin aus, dass dies eine legitime staatliche Untersuchungshandlung darstelle, zumal nebst der Beschwerdeführerin auch andere Personen vorgeladen worden seien. Zudem habe sie in der Folge deswegen keine weiteren Nachteile erlitten. 4.5 Diesen Erwägungen wurde in der Replik entgegnet, die Ausführungen des BFM zur polizeilichen Vorladung seien blosse Behauptungen und das BFM habe es unterlassen, weitere Abklärungen vorzunehmen oder die Beschwerdeführerin dazu zu befragen. Aus den Ausführungen der Beschwerdeführerin werde klar, dass sie bei den Behörden erfasst worden sei und später eine entsprechende Verknüpfung der einzelnen behördlichen Kontakte erfolgt sei. 4.6 In der Duplik hielt das BFM fest, beim auf Beschwerdeebene eingereichten Gerichtsurteil handle es sich lediglich um eine Kopie, wodurch die Überprüfung der Echtheit nicht möglich sei. Überdies könnten solche Dokumente leicht unrechtmässig erworben werden, wodurch ihnen nur ein geringer Beweiswert beigemessen werden könne.</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 in: Praxiskommentar zum Bundesgesetz über das Verwaltungsverfahren, Waldmann/Weissberger (Hrsg.) 2009, Art. 12 VwVG N 19 ff. und N 42, Kölz/Häner/Bertschi, Verwaltungsverfahren und Verwaltungsrechtspflege des Bundes, 3. Aufl., 2013, Rz. 1043 ff.).</w:t>
      </w:r>
    </w:p>
    <w:p>
      <w:r>
        <w:rPr>
          <w:b/>
        </w:rPr>
        <w:t>E. 5.2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Entscheidungen und Mitteilungen der Schweizerischen Asylrekurskommission [EMARK] 2006 Nr. 24 E. 5.1).</w:t>
      </w:r>
    </w:p>
    <w:p>
      <w:r>
        <w:rPr>
          <w:b/>
        </w:rPr>
        <w:t>E. 5.3</w:t>
      </w:r>
    </w:p>
    <w:p>
      <w:r>
        <w:t>Gemäss Ziffer 5.4 der BzP sind die Beschwerdeführenden legal mit einem Visum in die Schweiz eingereist. Aus den vorinstanzlichen Akten ist nicht ersichtlich, dass die Visumsakten beigezogen wurden, welchen wohl ebenfalls substanzielle Aussagen zu den Fluchtgründen entnommen werden können. So wies bereits die Hilfswerksvertretung im Anhörungsprotokoll darauf hin, dass sich die Visumsakten nicht im Dossier befänden. Auch eine explizite Aufforderung des Gerichts im Rahmen des zweiten Schriftenwechsels, die Akten zu vervollständigen, blieb von der Vorinstanz unberücksichtigt. Es kann nun nicht Aufgabe des Gerichts sein, diese Akten beizuziehen und in die Sachverhaltserstellung einfliessen zu lassen. Dies insbesondere, da den Beschwerdeführenden dadurch eine Instanz verloren ginge. Die Beschwerde ist daher wegen mangelhafter Sachverhaltsfeststellung sowie einer Verletzung des Anspruchs auf rechtliches Gehör gutzuheissen, soweit darauf einzutreten ist.</w:t>
      </w:r>
    </w:p>
    <w:p>
      <w:r>
        <w:rPr>
          <w:b/>
        </w:rPr>
        <w:t>E. 5.4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erweist sich eine Kassation unter Hinweis auf die vorangehende Erwägung 5.3 als angezeigt. Die angefochtene Verfügung ist deshalb aufzuheben und an die Vorinstanz zurückzuweisen.</w:t>
      </w:r>
    </w:p>
    <w:p>
      <w:r>
        <w:rPr>
          <w:b/>
        </w:rPr>
        <w:t>E. 5.5</w:t>
      </w:r>
    </w:p>
    <w:p>
      <w:r>
        <w:t>Die Vorinstanz ist anzuweisen, ergänzende Sachverhaltsabklärungen - insbesondere unter Beizug der Akten des Visumsverfahrens - vorzunehmen und erneut zu entscheiden.</w:t>
      </w:r>
    </w:p>
    <w:p>
      <w:r>
        <w:rPr>
          <w:b/>
        </w:rPr>
        <w:t>E. 6</w:t>
      </w:r>
    </w:p>
    <w:p>
      <w:r>
        <w:t>Bei dieser Sachlage erübrigt sich eine Auseinandersetzung mit den weiteren Vorbringen und Anträgen in der Beschwerde.</w:t>
      </w:r>
    </w:p>
    <w:p>
      <w:r>
        <w:rPr>
          <w:b/>
        </w:rPr>
        <w:t>E. 7</w:t>
      </w:r>
    </w:p>
    <w:p>
      <w:r>
        <w:t>Bei diesem Ausgang des Verfahrens sind keine Kosten zu erheben (Art. 63 Abs. 1 VwVG).</w:t>
      </w:r>
    </w:p>
    <w:p>
      <w:r>
        <w:rPr>
          <w:b/>
        </w:rPr>
        <w:t>E. 8</w:t>
      </w:r>
    </w:p>
    <w:p>
      <w:r>
        <w:t>Der ganz oder teilweise obsiegenden Partei kann von der Beschwerdeinstanz von Amtes wegen oder auf Begehren eine Entschädigung für ihr erwachsene notwendige und verhältnismässig hohe Kosten zugesprochen werden (Art. 64 Abs. 1 VwVG). Seitens der Rechts­vertretung wurde keine Kostenno­te eingereicht. Auf die Nachforde­rung einer solchen kann indes verzichtet werden, da im vorliegenden Verfah­ren der Aufwand für die Be­schwerdeführenden zuverlässig abge­schätzt werden kann (vgl. Art. 14 Abs. 2 des Reglements vom 21. Februar 2008 über die Kosten und Entschädigungen vor dem Bundesverwaltungsgericht [VGKE, SR 173.320.2]). Die von der Vorins­tanz zu entrichtende Parteient­schädigung ist von Amtes we­gen und in Berück­sichtigung der massgeblichen Be­mes­sungsfaktoren (vgl. Art. 8 ff. VGKE) auf Fr. 3'000.-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