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D-3233/2021 vom 21. Juli 2021</w:t>
      </w:r>
    </w:p>
    <w:p>
      <w:r>
        <w:t>Bundesverwaltungsgericht, 2021-07-21, DE</w:t>
      </w:r>
    </w:p>
    <w:p>
      <w:r>
        <w:rPr>
          <w:b/>
        </w:rPr>
        <w:t xml:space="preserve">Quelle: </w:t>
      </w:r>
      <w:r>
        <w:t>https://mcp.opencaselaw.ch/entscheid/bvger_D-3233_2021</w:t>
      </w:r>
    </w:p>
    <w:p>
      <w:r>
        <w:t>FR: TAF D-3233/2021 du 21 juillet 2021</w:t>
      </w:r>
    </w:p>
    <w:p>
      <w:r>
        <w:t>IT: TAF D-3233/2021 del 21 luglio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4.1</w:t>
      </w:r>
    </w:p>
    <w:p>
      <w:r>
        <w:t>Der Beschwerdeführer macht sinngemäss geltend, dass ihm das rechtliche Gehör nicht hinreichend gewährt worden sei. So habe er nicht am Dublin-Gespräch teilnehmen können, da er sich am Morgen dieses Tages noch in Haft befunden habe.</w:t>
      </w:r>
    </w:p>
    <w:p>
      <w:r>
        <w:rPr>
          <w:b/>
        </w:rPr>
        <w:t>E. 4.2</w:t>
      </w:r>
    </w:p>
    <w:p>
      <w:r>
        <w:t>Das SEM erwog in diesem Punkt, dass die Vorladung zum Dublin-Gespräch der zugewiesenen Rechtsvertretung am 1. Juli 2021 zugestellt und der Beschwerdeführer somit gemäss Art. 12a Abs. 2 AsylG rechtsgültig darüber informiert worden sei. Abklärungen des SEM hätten zwar ergeben, dass er tatsächlich in Haft gewesen sei, die Haftanstalt aber bereits am Morgen des 2. Juli 2021 um 8.30 Uhr verlassen habe. Es wäre ihm somit ohne Weiteres möglich gewesen, den Anhörungstermin um 10.00 Uhr wahrzunehmen respektive sich bei der Rechtsvertretung über allfällige Verfahrenstermine zu erkundigen. Er sei aber erst um 10.47 Uhr in die Unterkunft zurückgekehrt. Er habe im Zeitpunkt der Anhörung folglich als flüchtig im Sinne von Art. 5 Abs. 2 Bst. a Dublin-III-VO gegolten, weshalb auf das Dublin-Gespräch habe verzichtet werden können.</w:t>
      </w:r>
    </w:p>
    <w:p>
      <w:r>
        <w:rPr>
          <w:b/>
        </w:rPr>
        <w:t>E. 4.3</w:t>
      </w:r>
    </w:p>
    <w:p>
      <w:r>
        <w:t>Festzustellen ist, dass das Dublin-Gespräch wegen Abwesenheit des Beschwerdeführers nicht durchgeführt werden konnte. Ob er dabei tatsächlich als flüchtig im Sinne von Art. 5 Abs. 2 Bst. a Dublin-III-VO gelten konnte, ist zwar fraglich, kann an dieser Stelle aber offenbleiben, da das Absehen von einem Dublin-Gespräch im vorliegenden Fall aus anderen Gründen als rechtmässig erscheint. Das SEM hat nämlich, nachdem das Gespräch nicht stattfinden konnte, nicht ohne weitere Abklärungen den Entscheid aufgrund der Akten gefällt, sondern vielmehr der zugewiesenen Rechtsvertretung die Möglichkeit eingeräumt, sich schriftlich zum Nichteintretensentscheid zu äussern, was diese dann auch mit Eingabe vom 8. Juli 2021 getan hat. Dem Beschwerdeführer wurde somit einerseits die Möglichkeit geboten, sich (schriftlich) zu äussern. Andererseits ist der Sachverhalt auch als liquide erstellt zu erachten. Die vorliegende Konstellation ist somit vergleichbar mit dem Ausnahmetatbestand von Art. 5 Abs. 2 Bst. b Dublin-III-VO, wonach auf ein Dublin-Gespräch verzichtet werden kann, wenn die asylsuchende Person bereits alle sachdienlichen Angaben gemacht hat, was etwa dann angenommen werden kann, wenn eine schriftliche Eingabe durch eine Rechtsvertretung vorliegt (vgl. Filzwieser/Sprung, Dublin III-Verordnung, Das Europäische Asylzuständigkeitssystem, 2014, K4 zu Art. 5). Es war in casu somit gerechtfertigt, ausnahmsweise auf die Durchführung eines Dublin-Gesprächs zu verzichten. Der Eventualantrag, die Sache zur erneuten Entscheidung respektive Durchführung eines Dublin-Gesprächs an die Vorinstanz zurückzuweisen, ist folglich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6.1</w:t>
      </w:r>
    </w:p>
    <w:p>
      <w:r>
        <w:t>Ein Abgleich der Fingerabdrücke des Beschwerdeführers mit der "Eurodac"-Datenbank ergab, dass dieser am 3. November 2020 in Deutschland ein Asylgesuch eingereicht hatte. Das SEM ersuchte deshalb die deutschen Behörden am 2. Juli 2021 um Wiederaufnahme des Beschwerdeführers gestützt auf Art. 23 oder 24 Dublin-III-VO. Die deutschen Behörden stimmten dem Gesuch um Übernahme am 6. Juli 2021 zu. Die grundsätzliche Zuständigkeit Deutschlands ist somit gegeben.</w:t>
      </w:r>
    </w:p>
    <w:p>
      <w:r>
        <w:rPr>
          <w:b/>
        </w:rPr>
        <w:t>E. 6.2</w:t>
      </w:r>
    </w:p>
    <w:p>
      <w:r>
        <w:t>Das Vorliegen systemischer Schwachstellen im Sinne von Art. 3 Abs. 2 Dublin-III-VO ist im Falle Deutschlands zu verneinen (vgl. Urteil des BVGer F-2520/2021 vom 4. Juni 2021).</w:t>
      </w:r>
    </w:p>
    <w:p>
      <w:r>
        <w:rPr>
          <w:b/>
        </w:rPr>
        <w:t>E. 6.3</w:t>
      </w:r>
    </w:p>
    <w:p>
      <w:r>
        <w:t>Der Beschwerdeführer macht sinngemäss geltend, Deutschland komme seinen völkerrechtlichen Verpflichtungen nicht nach, da sein Asylgesuch nicht richtig geprüft worden sei. Nach Art. 17 Abs. 1 Satz 1 Dublin-III-VO kann die Schweiz ein Asylgesuch materiell prüfen, auch wenn nach den in der Verordnung vorgesehenen Kriterien ein anderer Staat zuständig ist (sogenanntes Selbsteintrittsrecht). Diese Bestimmung ist nicht unmittelbar anwendbar, sondern kann nur in Verbindung mit einer anderen Norm des nationalen oder internationalen Rechts angerufen werden (vgl. BVGE 2010/45 E. 5). Die Schweiz ist demnach zum Selbsteintritt verpflichtet, wenn andernfalls eine Verletzung des Non-Refoulement-Gebots nach Art. 33 FK, Art. 3 EMRK, Art. 7 des Internationalen Paktes über bürgerliche und politische Rechte (UNO-Pakt II, SR 0.103.2) oder Art. 3 FoK droht. Grundsätzlich ist davon auszugehen, dass der Dublin-Staat, in den eine Überstellung erfolgen soll, bei der Durchführung des Asyl- und Wegweisungsverfahrens die aus dem Völkerrecht fliessenden Verpflichtungen respektiert. Diese Vermutung kann im Einzelfall widerlegt werden (vgl. BVGE 2010/45 E. 7.4 f.). Dies ist dem Beschwerdeführer mit seiner nicht weiter substanziierten Behauptung nicht gelungen.</w:t>
      </w:r>
    </w:p>
    <w:p>
      <w:r>
        <w:rPr>
          <w:b/>
        </w:rPr>
        <w:t>E. 6.4</w:t>
      </w:r>
    </w:p>
    <w:p>
      <w:r>
        <w:t>Der Beschwerdeführer beruft sich weiter darauf, sein Gesundheitszustand stehe einer Überstellung entgegen. Damit macht er implizit geltend, die Überstellung nach Deutschland setze ihn einer Gefahr für seine Gesundheit aus und verletze damit Art. 3 EMRK. Bereits das SEM erwog dazu zu Recht, dass eine adäquate medizinische Behandlung auch in Deutschland verfügbar ist (vgl. Urteil des BVGer F-2520/2021 vom 4. Juni 2021).</w:t>
      </w:r>
    </w:p>
    <w:p>
      <w:r>
        <w:rPr>
          <w:b/>
        </w:rPr>
        <w:t>E. 6.5</w:t>
      </w:r>
    </w:p>
    <w:p>
      <w:r>
        <w:t>Es besteht somit kein Grund für eine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Der Vollständigkeit halber ist festzuhalten, dass die Dublin-III-VO den Schutzsuchenden kein Recht einräumt, den ihren Antrag prüfenden Staat selber auszuwählen (vgl. auch BVGE 2010/45 E. 8.3).</w:t>
      </w:r>
    </w:p>
    <w:p>
      <w:r>
        <w:rPr>
          <w:b/>
        </w:rPr>
        <w:t>E. 6.6</w:t>
      </w:r>
    </w:p>
    <w:p>
      <w:r>
        <w:t>Somit bleibt Deutschland zuständiger Mitgliedstaat gemäss Dublin-III-VO.</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w:t>
      </w:r>
    </w:p>
    <w:p>
      <w:r>
        <w:rPr>
          <w:b/>
        </w:rPr>
        <w:t>E. 10.1</w:t>
      </w:r>
    </w:p>
    <w:p>
      <w:r>
        <w:t>Aufgrund der obigen Erwägungen ist die Beschwerde als zum vornherein aussichtslos zu bezeichnen, weshalb das Gesuch um Gewährung der unentgeltlichen Prozessführung gemäss Art. 65 Abs. 1 VwVG abzuweisen ist.</w:t>
      </w:r>
    </w:p>
    <w:p>
      <w:r>
        <w:rPr>
          <w:b/>
        </w:rPr>
        <w:t>E. 10.2</w:t>
      </w:r>
    </w:p>
    <w:p>
      <w:r>
        <w:t>Die Kosten des Verfahrens sind folglich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