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D-3223/2022 vom 22. Juni 2022</w:t>
      </w:r>
    </w:p>
    <w:p>
      <w:r>
        <w:t>Bundesverwaltungsgericht, 2022-06-22, DE</w:t>
      </w:r>
    </w:p>
    <w:p>
      <w:r>
        <w:rPr>
          <w:b/>
        </w:rPr>
        <w:t xml:space="preserve">Quelle: </w:t>
      </w:r>
      <w:r>
        <w:t>https://mcp.opencaselaw.ch/entscheid/bvger_D-3223_2022_d20220622</w:t>
      </w:r>
    </w:p>
    <w:p>
      <w:r>
        <w:t>FR: TAF D-3223/2022 du 22 juin 2022</w:t>
      </w:r>
    </w:p>
    <w:p>
      <w:r>
        <w:t>IT: TAF D-3223/2022 del 22 giugno 2022</w:t>
      </w:r>
    </w:p>
    <w:p>
      <w:pPr>
        <w:pStyle w:val="Heading2"/>
      </w:pPr>
      <w:r>
        <w:t>Regeste</w:t>
      </w:r>
    </w:p>
    <w:p>
      <w:r>
        <w:t>Asyl (ohne Wegweisungsvollzug) | Asyl (ohne Wegweisungsvollzug); Verfügung des SEM vom 22. Juni 2022</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t>D-3223/2022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w:t>
      </w:r>
    </w:p>
    <w:p>
      <w:r>
        <w:rPr>
          <w:b/>
        </w:rPr>
        <w:t>E. 4.1</w:t>
      </w:r>
    </w:p>
    <w:p>
      <w:r>
        <w:t>In ihrer abweisenden Verfügung hielt die Vorinstanz fest, aufgrund des Besuchs der Militärschule "(…)" sei beim Beschwerdeführer von einem leicht erhöhten Risikoprofil auszugehen. Weitere Elemente, welche zu ei- ner Schärfung seines Profils oder einer besonderen Exponiertheit führen würden, würden indes nicht vorliegen. Einerseits weise sein beruflicher Werdegang nach dem Abschluss der Militärschule in den letzten sieben Jahren keine Berührungspunkte mit den afghanischen Sicherheitskräften</w:t>
      </w:r>
    </w:p>
    <w:p>
      <w:r>
        <w:t>D-3223/2022 Seite 6 oder den afghanischen Behörden im Allgemeinen auf, die aus Sicht der Taliban als problematisch angesehen werden könnten, und andererseits würden weder er noch seine Familienangehörigen über kritische Profile verfügen, welche die Aufmerksamkeit der Taliban auf ihn lenken würden. Vor diesem Hintergrund sei eine begründete Furcht vor einer künftigen flüchtlingsrechtlich relevanten Verfolgung als eher unwahrscheinlich einzu- stufen. Insbesondere sei fraglich, welches Interesse die Taliban bei einer allfälligen Rückkehr des Beschwerdeführers haben sollten. Abgesehen vom Vorfall nach den Wahlen im Jahr 2019/2020, nach welchem ihm die Taliban einen Teil seines rechten Zeigefingers abgetrennt hätten, habe er keine ernsthaften Probleme mit diesen gehabt. Aus den Vorbringen betref- fend die Hausdurchsuchungen bei seinen Eltern, welche nicht auf ihre Glaubhaftigkeit geprüft werden könnten, könne jedenfalls keine begrün- dete Furcht vor künftiger flüchtlingsrechtlich relevanter Verfolgung abgelei- tet werden. Vielmehr bestünden Hinweise darauf, dass die Taliban, sollten sie von seinem Schulbesuch gewusst haben, ebendiesen als Vorwand für die Hausdurchsuchungen benutzt hätten, um ihre eigentlich kriminellen respektive finanziellen Motive zu verfolgen. Vor diesem Hintergrund er- weise sich seine subjektive Furcht, künftig Nachteile im Sinne von Art. 3 AsylG zu erleiden, als objektiv nicht begründet. Weiter gebe es keine Be- richte, wonach die Taliban die vorwiegend schiitischen Hazara ausschliess- lich aus ethnischen beziehungsweise konfessionellen Gründen festneh- men oder töten würden. Die Zahl der Übergriffe erscheine folglich derzeit nicht als genügend systematisch und umfassend, als dass von einer Kol- lektivverfolgung auszugehen sei. An dieser Einschätzung vermöge auch der Vorfall im Jahr 2019/2020, als dem Beschwerdeführer aufgrund seiner Zugehörigkeit zur Ethnie der Hazara und seiner Teilnahme an den Präsi- dentschaftswahlen ein Teil seines rechten Zeigefingers von den Taliban ab- geschnitten worden sei, nichts zu ändern, da es sich dabei zwar um Nach- teile, die auf seine ethnische Zugehörigkeit zurückzuführen seien, jedoch um ein isoliertes Ereignis gehandelt habe und es weder zuvor noch danach zu anderen Vorfällen gekommen sei.</w:t>
      </w:r>
    </w:p>
    <w:p>
      <w:r>
        <w:rPr>
          <w:b/>
        </w:rPr>
        <w:t>E. 4.2</w:t>
      </w:r>
    </w:p>
    <w:p>
      <w:r>
        <w:t>In der Rechtsmitteleingabe hielt der Beschwerdeführer dem entgegen, in seiner Biografie gebe es mehrere Elemente, welche zu einem erhöhten Risikoprofil führen würden. So verfüge er durch den Besuch der Militär- schule über ein leicht erhöhtes Risikoprofil, was von der Vorinstanz nicht bestritten worden sei. Weiter sei der teilweise abgetrennte Zeigefinger für die Taliban ein erkennbares Zeichen, dass er ein Unterstützer der vorheri- gen Regierung gewesen sei. Auch die (…)tätigkeit und verwestlichte Le- bensweise seines Bruders wirke sich verschärfend auf sein Risikoprofil</w:t>
      </w:r>
    </w:p>
    <w:p>
      <w:r>
        <w:t>D-3223/2022 Seite 7 aus. Sodann hätten die Hausdurchsuchungen bei seinen Eltern, bei wel- chen explizit nach ihm gefragt worden sei, eine Erhöhung seines Risikopro- fils zur Folge. Soweit die Vorinstanz die Ansicht vertrete, den Durchsuchun- gen hätten finanzielle Motive zugrunde gelegen, sei entgegen zu halten, dass sich die Taliban währenddessen zwar finanziell bereichert hätten, dies jedoch nicht das Motiv der Durchsuchungen gewesen sei, da sie sich über seinen Aufenthaltsort erkundigt hätten. Ferner verschärfe seine Zugehörig- keit zur ethnischen Minderheit der Hazara die zuvor genannten Risikofak- toren zusätzlich. Das SEM verkenne dabei, dass die Übergriffe und das Verhalten der Taliban gegen die Hazara fallspezifisch berücksichtigt wer- den müssten, auch wenn (noch) keine Kollektivverfolgung vorliege. Bei ei- ner Gesamtbetrachtung aller Umstände sei festzustellen, dass er ein ge- nügend erhöhtes Risikoprofil habe und bei einer Rückkehr einem erhöhten Verfolgungsrisiko ausgesetzt wäre.</w:t>
      </w:r>
    </w:p>
    <w:p>
      <w:r>
        <w:rPr>
          <w:b/>
        </w:rPr>
        <w:t>E. 4.3</w:t>
      </w:r>
    </w:p>
    <w:p>
      <w:r>
        <w:t>In der Vernehmlassung wendete die Vorinstanz ein, der teilweise ab- getrennte rechte Zeigefinger des Beschwerdeführers vermöge sein Risi- koprofil nicht derart zu verschärfen, als dass von einer begründeten Furcht vor einer flüchtlingsrechtlich relevanten Verfolgung auszugehen sei. So müsse einerseits das Fehlen des obersten Teils seines Zeigefingers, das verschiedene Ursachen haben könnte, wahrgenommen und mit einer de- mokratischen Wahl in Verbindung gebracht werden. Andererseits sei zwei- felhaft, ob die Taliban ihn – selbst wenn sie wüssten, dass er 2019 an den Präsidentschaftswahlen teilgenommen habe – deswegen als ernsthafte Bedrohung für ihre Ideologie einordnen würden. Weiter könne er aus der angeblich verwestlichten Lebensweise seines Bruders nichts zu seinen Gunsten ableiten, zumal es keine Hinweise gebe, wonach die Taliban Kenntnis davon hätten. Insgesamt sei sein Profil zu niederschwellig, um von einer kritischen Kombination von Risikofaktoren auszugehen, die eine flüchtlingsrechtlich beachtliche Verfolgung wahrscheinlich erscheinen liesse.</w:t>
      </w:r>
    </w:p>
    <w:p>
      <w:r>
        <w:rPr>
          <w:b/>
        </w:rPr>
        <w:t>E. 4.4</w:t>
      </w:r>
    </w:p>
    <w:p>
      <w:r>
        <w:t>In seiner Replik entgegnete der Beschwerdeführer, dass der abge- trennte Zeigefinger in direktem Zusammenhang mit der Präsidentschafts- wahl 2019 und der Unterstützung des vormaligen Präsidenten Ashraf Ghani stehe. Hinsichtlich der Übrigen Einwände, insbesondere zum Wis- sen der Taliban über die Ausbildung des Beschwerdeführers und die Arbeit seines Bruders, werde auf die Ausführungen in der Beschwerde verwiesen.</w:t>
      </w:r>
    </w:p>
    <w:p>
      <w:r>
        <w:rPr>
          <w:b/>
        </w:rPr>
        <w:t>E. 5</w:t>
      </w:r>
    </w:p>
    <w:p>
      <w:r>
        <w:t>D-3223/2022 Seite 8</w:t>
      </w:r>
    </w:p>
    <w:p>
      <w:r>
        <w:rPr>
          <w:b/>
        </w:rPr>
        <w:t>E. 5.1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entsprechenden Personen (vgl. Urteile des BVGer D-4268/2022 vom 29. März 2023 E. 7.1, D-1350/2022 vom 29. März 2023 E. 7.2 je mit weiteren Hinweisen und analog F-800/2022 vom 5. Juni 2023 E. 6.2 [be- treffend Visum aus humanitärem Gründen]). Dies gilt insbesondere in Be- zug auf Angehörige der Polizei und der Sicherheitskräfte, Regierungsbe- amte oder der Regierung nahestehende Personen (vgl. Update der Schweizerischen Flüchtlingshilfe [SFH] – Länderanalyse vom 2. November 2022, Afghanistan: Gefährdungsprofile S. 15 f. sowie Human Rights Watch [HRW], «No Forgiveness for People Like You»: Executions and Enforced Disappearances in Afghanistan under the Taliban, 30. November 2021). Das Bundesverwaltungsgericht geht davon aus, dass auch die familiäre Zugehörigkeit zu einer Person, die einem erhöhten Verfolgungsrisiko im Sinne der obigen Ausführungen ausgesetzt ist, zu einer Reflexverfolgung führen kann (vgl. Urteile des BVGer D-4268/2022 vom 29. März 2023 E. 7.1, E-5120/2021 vom 21. Juli 2022 E. 6.3.4., D-1728/2022 vom 10. Mai 2022 E. 7.3 und D-2161/2021 vom 12. Januar 2022 E. 7.4). Für die Erfül- lung der Flüchtlingseigenschaft ist jedoch erforderlich, dass sich die abs- trakte Gefährdung aufgrund eines erhöhten Risikoprofils individuell konkre- tisiert (vgl. Urteil des BVGer D-2118/2022 vom 2. September 2022 E. 4.3.2). Die konkrete Einschätzung ist im jeweiligen Einzelfall vorzuneh- men.</w:t>
      </w:r>
    </w:p>
    <w:p>
      <w:r>
        <w:rPr>
          <w:b/>
        </w:rPr>
        <w:t>E. 5.2</w:t>
      </w:r>
    </w:p>
    <w:p>
      <w:r>
        <w:t>Das SEM ist in seiner Verfügung zwar zu Recht von einem leicht er- höhten Risikoprofil ausgegangen, da der Beschwerdeführer eine militäri- sche Schule besucht hat. Der Abschluss des Beschwerdeführers an der Militärschule "(…)" im Jahr 2016 lag aber im Zeitpunkt der Ausreise schon über fünf Jahre zurück und aus den Akten ergeben sich keine konkreten, plausiblen Anhaltspunkte für ein Verfolgungsinteresse der Taliban. So hatte der Beschwerdeführer eigenen Angaben zufolge keinen militärischen Rang inne (vgl. A14, F17) und – wie die Vorinstanz zutreffend feststellte – beruf- lich keine Berührungspunkte mit den afghanischen Sicherheitskräften oder den afghanischen Behörden im Allgemeinen (vgl. A14, F3 f. und F19). Zu- dem kann seinen Aussagen nicht entnommen werden, dass er in den Au- gen der Taliban als religiöser oder politischer Oppositioneller gegolten</w:t>
      </w:r>
    </w:p>
    <w:p>
      <w:r>
        <w:t>D-3223/2022 Seite 9 hätte. Er war weder vor der Ausreise noch danach politisch aktiv und hat sich bisher auch nicht anderweitig aufgrund seiner Familie, persönlicher Merkmale oder Aktivitäten gegenüber den Taliban besonders exponiert. Die abstrakte Gefährdung hat sich denn vorliegend auch nicht individuell konkretisiert. Vielmehr erläuterte der Beschwerdeführer, er habe – abge- sehen von der Abtrennung seines Fingers im Jahr 2019 – keine weiteren Vorfälle mit den Taliban gegeben (vgl. A14, F45). Zwar muss die Abtren- nung eines Teils des Fingers als Strafe für die Teilnahme an den Wahlen als ernsthafter Nachteil qualifiziert werden. Eine solche Vergeltungsmass- nahme wegen Teilnahme an den Wahlen kann denn auch nicht ausge- schlossen werden, zumal es eine solche Praxis bereits bei vorhergehen- den Präsidentschaftswahlen gab (vgl. The Guardian, Taliban 'cut off fingers of two Afghan voters', 22. August 2009, The Wall Street Journal, Afghans Turn Out to Vote Despite Taliban Violence, 16. Juni 2014 und Radio Free Europe/Radio Liberty (RFE/RL), Modern Voting Systems Did More Harm Than Good In Afghanistan's Recent Elections, 27. Oktober 2018). Auch dieses Ereignis erfolgte jedoch Jahre vor der Ausreise und hat offensicht- lich nicht zu weiteren Verfolgungshandlungen geführt. Zu Recht stellte die Vorinstanz denn auch in Frage, ob die Taliban das Fehlen des Fingerglie- des tatsächlich mit politischen Aktivitäten in Zusammenhang bringen wür- den, zumal dies auch andere Ursachen haben könnte. Eine begründete Furcht vor Nachteilen ist aufgrund dieser bloss hypothetischen Befürchtun- gen jedenfalls zu verneinen. Die von den Taliban nach seiner Ausreise durchgeführten Hausdurchsuchungen unter Nachfrage nach seiner Person vermochte der Beschwerdeführer nicht zu belegen und er hat davon nur per Telefon von seinen Eltern erfahren (vgl. A14, F8, F37 ff. und F49). Zu- dem hat die Vorinstanz zu Recht festgestellt, dass es sich bei den Haus- durchsuchungen um allgemeine Durchsuchungen gehandelt habe, und Hinweise erwähnt, dass die Taliban seinen Schulbesuch als Vorwand für ein eigentlich kriminelles respektive finanzielles Motiv benutzten. Dass sich die Taliban bei der Durchsuchung, wie in der Beschwerde moniert, über seinen Aufenthaltsort erkundigt hätten, spricht dem nicht entgegen. Schliesslich spricht die Tatsache, dass die Eltern sowie die beiden jüngeren Brüder des Beschwerdeführers nach wie vor am Herkunftsort leben (vgl. A14, F8) gegen das Vorliegen einer andauernden, erheblichen und geziel- ten Verfolgung.</w:t>
      </w:r>
    </w:p>
    <w:p>
      <w:r>
        <w:rPr>
          <w:b/>
        </w:rPr>
        <w:t>E. 5.3</w:t>
      </w:r>
    </w:p>
    <w:p>
      <w:r>
        <w:t>Hinsichtlich der vom Beschwerdeführer geltend gemachten Furcht vor einer Reflexverfolgung im Zusammenhang mit der (…)tätigkeit seines Bru- ders sowie dessen verwestlichte Lebensweise ist sodann – in Übereinstim-</w:t>
      </w:r>
    </w:p>
    <w:p>
      <w:r>
        <w:t>D-3223/2022 Seite 10 mung mit der Vorinstanz – festzuhalten, dass nicht belegt ist, dass die Ta- liban von dessen Studium im Bereich "(…)" sowie dessen Anstellungen an (…) wussten. Eine bloss entfernte Möglichkeit künftiger Verfolgung reicht jedenfalls nicht aus, um eine Furcht objektiv zu begründen, vielmehr müs- sen konkrete Indizien vorliegen, welche den Eintritt der erwarteten Benach- teiligung als wahrscheinlich und dementsprechend die Furcht davor als re- alistisch und nachvollziehbar erscheinen lassen (vgl. BVGE 2014/27 E. 6.1, 2010/57 E. 2.5 jeweils m.w.H.). Vorliegend sind keine entsprechen- den konkreten Indizien hierfür ersichtlich. Somit ist auch die geltend ge- machte Furcht vor einer zukünftigen Reflexverfolgung des Beschwerdefüh- rers aufgrund der Tätigkeit seines Bruders als objektiv unbegründet zu er- achten.</w:t>
      </w:r>
    </w:p>
    <w:p>
      <w:r>
        <w:rPr>
          <w:b/>
        </w:rPr>
        <w:t>E. 5.4</w:t>
      </w:r>
    </w:p>
    <w:p>
      <w:r>
        <w:t>Ferner vermag auch die Zugehörigkeit des Beschwerdeführers zur Eth- nie der Hazara und der Religion der Schiiten keine zusätzliche Gefährdung im Sinne des Asylgesetzes zu begründen. Zwar ist nicht in Abrede zu stel- len, dass sich die Situation der Hazara in Afghanistan nach der Machtüber- nahme der Taliban schwierig präsentieren kann. Gemäss der Rechtspre- chung des Bundesverwaltungsgerichts ist indessen nach wie vor nicht von einer Kollektivverfolgung von Hazara in Afghanistan auszugehen (vgl. etwa Urteile des Bundesverwaltungsgerichts E-3516/2023 vom 29. November 2023 E. 6.9, E-3667/2023 vom 22. August 2023 oder E-3278/2023 vom 26. Juni 2023 E. 7.4.3). Auch bei einer fallspezifischen Würdigung lässt sich aus den allgemein gehaltenen Hinweisen des Beschwerdeführers, es bestehe seitens der Taliban eine lange Feindseligkeit gegenüber den Ha- zara und den schiitischen Konfessionen (vgl. A14, F36 f. und F55), kein konkretes Verfolgungsinteresse der Taliban an seiner Person herleiten.</w:t>
      </w:r>
    </w:p>
    <w:p>
      <w:r>
        <w:rPr>
          <w:b/>
        </w:rPr>
        <w:t>E. 5.5</w:t>
      </w:r>
    </w:p>
    <w:p>
      <w:r>
        <w:t>Diesen Erwägungen gemäss ist im afghanischen Kontext anzuneh- men, dass der Beschwerdeführer für den (hypothetischen) Fall einer Rück- kehr in den Heimatstaat in absehbarer Zukunft keine ernsthaften Nachteile im Sinne von Art. 3 Abs. 2 AsylG befürchten müsste.</w:t>
      </w:r>
    </w:p>
    <w:p>
      <w:r>
        <w:rPr>
          <w:b/>
        </w:rPr>
        <w:t>E. 5.6</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des Beschwerdeführers verneint und dessen Asylgesuch abgelehnt.</w:t>
      </w:r>
    </w:p>
    <w:p>
      <w:r>
        <w:rPr>
          <w:b/>
        </w:rPr>
        <w:t>E. 6</w:t>
      </w:r>
    </w:p>
    <w:p>
      <w:r>
        <w:t>Lehnt das SEM das Asylgesuch ab oder tritt es darauf nicht ein, so verfügt</w:t>
      </w:r>
    </w:p>
    <w:p>
      <w:r>
        <w:t>D-3223/2022 Seite 11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und 2009/50 E. 9, je m.w.H.).</w:t>
      </w:r>
    </w:p>
    <w:p>
      <w:r>
        <w:rPr>
          <w:b/>
        </w:rPr>
        <w:t>E. 7</w:t>
      </w:r>
    </w:p>
    <w:p>
      <w:r>
        <w:t>Die Wegweisungsvollzugshindernisse (Unzulässigkeit, Unzumutbarkeit und Unmöglichkeit; vgl. Art. 83 Abs. 2–4 des Bundesgesetzes über die Ausländerinnen und Ausländer und über die Integration vom 16. Dezember 2005 [AIG; SR 142.20]) sind alternativer Natur: Sobald eines von ihnen er- füllt ist, ist der Wegweisungsvollzug als undurchführbar zu betrachten und die weitere Anwesenheit in der Schweiz gemäss den Bestimmungen der vorläufigen Aufnahme zu regeln (vgl. BVGE 2011/24 E. 10.2 und 2009/51 E. 5.4, je m.w.H.). Da der Beschwerdeführer mit Verfügung des SEM vom 22. Juni 2022 wegen gegenwärtiger Unzumutbarkeit des Wegweisungs- vollzugs vorläufig aufgenommen wurde (vgl. Dispositivziffer 4 der ange- fochtenen Verfügung), erübrigen sich praxisgemäss weitere Ausführungen zur Zulässigkeit und Möglichkeit des Wegweisungsvollzugs.</w:t>
      </w:r>
    </w:p>
    <w:p>
      <w:r>
        <w:rPr>
          <w:b/>
        </w:rPr>
        <w:t>E. 8</w:t>
      </w:r>
    </w:p>
    <w:p>
      <w:r>
        <w:t>Aus diesen Erwägungen ergibt sich, dass die angefochtene Verfügung Bundesrecht nicht verletzt, den rechtserheblichen Sachverhalt richtig und vollständig feststellt (Art. 106 Abs. 1 AsylG). Die Beschwerde ist daher ab- zuweisen.</w:t>
      </w:r>
    </w:p>
    <w:p>
      <w:r>
        <w:rPr>
          <w:b/>
        </w:rPr>
        <w:t>E. 9.1</w:t>
      </w:r>
    </w:p>
    <w:p>
      <w:r>
        <w:t>Bei diesem Ausgang des Verfahrens wären die Kosten dem Beschwer- deführer aufzuerlegen (vgl. Art. 63 Abs. 1 VwVG; Art. 1–3 des Reglements vom 21. Februar 2008 über die Kosten und Entschädigungen vor dem Bun- desverwaltungsgericht [VGKE; SR 173.320.2]). Nachdem mit Verfügung vom 27. Juli 2022 das Gesuch um Gewährung der unentgeltlichen Pro- zessführung im Sinne von Art. 65 Abs. 1 VwVG gutgeheissen worden ist und weiterhin von der Bedürftigkeit des Beschwerdeführers auszugehen ist, sind ihm keine Verfahrenskosten aufzuerlegen.</w:t>
      </w:r>
    </w:p>
    <w:p>
      <w:r>
        <w:rPr>
          <w:b/>
        </w:rPr>
        <w:t>E. 9.2</w:t>
      </w:r>
    </w:p>
    <w:p>
      <w:r>
        <w:t>Nachdem der rubrizierte Rechtsvertreter dem Beschwerdeführer mit derselben Verfügung als amtlicher Rechtsbeistand beigeordnet worden ist,</w:t>
      </w:r>
    </w:p>
    <w:p>
      <w:r>
        <w:t>D-3223/2022 Seite 12 ist er für seinen Aufwand unbesehen des Ausgangs des Verfahrens zu ent- schädigen, soweit dieser sachlich notwendig war (vgl. Art. 65 Abs. 5 VwVG und Art. 12 i.V.m. Art. 8 Abs. 2 VGKE). Der Rechtsvertreter reichte mit der Replik eine Honorarnote ein, in welcher ein Aufwand von 9.75 Stunden zu einem Stundenansatz von Fr. 150.– sowie Auslagen in Höhe von Fr. 10.00 und einem Mehrwertsteuerzuschlag von Fr. 117.00 geltend gemacht wer- den, was angemessen erscheint. Das amtliche Honorar ist danach auf ge- rundet Fr. 1'590.– (inklusive Auslagen und Mehrwertsteuerzuschlag im Sinne von Art. 9 Abs. 1 Bst. c VGKE) festzusetzen und dem rubrizierten Rechtsvertreter als amtlicher Rechtsbeistand aus der Gerichtskasse zu entrichten.</w:t>
      </w:r>
    </w:p>
    <w:p>
      <w:r>
        <w:t>(Dispositiv nächste Seite)</w:t>
      </w:r>
    </w:p>
    <w:p>
      <w:r>
        <w:t>D-3223/2022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