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D-3219/2015 vom 25. Januar 2016</w:t>
      </w:r>
    </w:p>
    <w:p>
      <w:r>
        <w:t>Bundesverwaltungsgericht, 2016-01-25, DE</w:t>
      </w:r>
    </w:p>
    <w:p>
      <w:r>
        <w:rPr>
          <w:b/>
        </w:rPr>
        <w:t xml:space="preserve">Quelle: </w:t>
      </w:r>
      <w:r>
        <w:t>https://mcp.opencaselaw.ch/entscheid/bvger_D-3219_2015</w:t>
      </w:r>
    </w:p>
    <w:p>
      <w:r>
        <w:t>FR: TAF D-3219/2015 du 25 janvier 2016</w:t>
      </w:r>
    </w:p>
    <w:p>
      <w:r>
        <w:t>IT: TAF D-3219/2015 del 25 gennaio 2016</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nicht in einer Amtssprache des Bundes abgefasst. Auf die Ansetzung einer Frist zur entsprechenden Beschwerdeverbesserung im Sinne von Art. 52 VwVG kann jedoch aus prozessökonomischen Gründen verzichtet werden, da die Rechtsmitteleingabe mit sinngemässem Beschwerdeantrag und entsprechender Begründung verständlich ist, so dass ohne weiteres darüber befunden werden kann. Der vorliegende Entscheid ergeht indessen in deutscher Sprache (Art. 33a Abs. 2 VwVG i.V.m. Art. 6 AsylG).</w:t>
      </w:r>
    </w:p>
    <w:p>
      <w:r>
        <w:rPr>
          <w:b/>
        </w:rPr>
        <w:t>E. 1.3</w:t>
      </w:r>
    </w:p>
    <w:p>
      <w:r>
        <w:t>Die Beschwerde ist unter Vorbehalt des vorstehend Ausgeführten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i.V.m. Art. 48 Abs. 1 VwVG). Auf die Beschwerde ist einzutreten.</w:t>
      </w:r>
    </w:p>
    <w:p>
      <w:r>
        <w:rPr>
          <w:b/>
        </w:rPr>
        <w:t>E. 2.1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2.2</w:t>
      </w:r>
    </w:p>
    <w:p>
      <w:r>
        <w:t>Gestützt auf Art. 111a Abs. 1 AsylG wurde vorliegend auf die Durchführung eines Schriftenwechsels verzichtet.</w:t>
      </w:r>
    </w:p>
    <w:p>
      <w:r>
        <w:rPr>
          <w:b/>
        </w:rPr>
        <w:t>E. 3</w:t>
      </w:r>
    </w:p>
    <w:p>
      <w:r>
        <w:t>Für Asylgesuche, die im Ausland vor Inkrafttreten der Asylgesetzände­rung vom 28. September 2012 gestellt worden sind, gelten die Artikel 12, 19, 20, 41 Abs. 2, 52 und 68 in ihrer bisherigen Fassung (vgl. Übergangs­bestimmung zur Änderung vom 28. September 2012). Demnach sind auf den vorliegenden Fall die bisherigen Bestimmungen betreffend das Auslandverfahren anzuwenden.</w:t>
      </w:r>
    </w:p>
    <w:p>
      <w:r>
        <w:rPr>
          <w:b/>
        </w:rPr>
        <w:t>E. 4</w:t>
      </w:r>
    </w:p>
    <w:p>
      <w:r>
        <w:t>Ein Asylgesuch kann gemäss aArt. 19 Abs. 1 AsylG im Ausland bei einer schweizerischen Vertretung gestellt werden, die es mit einem Be­richt an das SEM überweist (aArt. 20 Abs. 1 AsylG). Hinsichtlich des Verfahrens bei der schweizerischen Vertretung im Ausland sieht aArt. 10 der Asylverordnung 1 vom 11. August 1999 über Verfahrensfragen (AsylV 1, SR 142.311) vor, dass diese mit der asylsuchenden Person in der Regel eine Befragung durchführt, was vorliegend geschehen ist.</w:t>
      </w:r>
    </w:p>
    <w:p>
      <w:r>
        <w:rPr>
          <w:b/>
        </w:rPr>
        <w:t>E. 5.1</w:t>
      </w:r>
    </w:p>
    <w:p>
      <w:r>
        <w:t>Das SEM bewilligt Asylsuchenden die Einreise in die Schweiz zur Abklärung des Sachverhalts, wenn ihnen nicht zugemutet werden kann, im Wohnsitz- oder Aufenthaltsort zu bleiben oder in einen anderen Staat auszureisen (aArt. 20 Abs. 2 AsylG). Ein Verbleib ist namentlich dann unzumutbar, wenn die asylsuchende Person schutzbedürftig ist, d.h. wenn sie in ihrem Heimatstaat oder im Land, in dem sie zuletzt wohnte, wegen ihrer Rasse, Religion, Nationalität, Zugehörigkeit zu einer bestimmten sozialen Gruppe oder ihrer politischen Anschauungen wegen ernsthaften Nachteilen ausgesetzt ist oder begründete Furcht hat, solchen Nachteilen ausgesetzt zu werden (Art. 3 AsylG).</w:t>
      </w:r>
    </w:p>
    <w:p>
      <w:r>
        <w:rPr>
          <w:b/>
        </w:rPr>
        <w:t>E. 5.2</w:t>
      </w:r>
    </w:p>
    <w:p>
      <w:r>
        <w:t>Das SEM kann ein im Ausland gestelltes Asylgesuch ablehnen - und damit auch die Einreise in die Schweiz verweigern -, wenn keine Hinweise auf eine aktuelle Gefährdung im Sinne von Art. 3 AsylG vorliegen oder es der gesuchstellenden Person zuzumuten ist, sich in einem Drittstaat um Aufnahme zu bemühen (aArt. 52 Abs. 2 AsylG).</w:t>
      </w:r>
    </w:p>
    <w:p>
      <w:r>
        <w:rPr>
          <w:b/>
        </w:rPr>
        <w:t>E. 5.3</w:t>
      </w:r>
    </w:p>
    <w:p>
      <w:r>
        <w:t>Die Voraussetzungen zur Erteilung einer Einreisebewilligung sind grundsätzlich restriktiv zu handhaben,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Eingliederungsmöglichkeiten in der Schweiz in Betracht zu ziehen (vgl. zum Ganzen BVGE 2011/10).</w:t>
      </w:r>
    </w:p>
    <w:p>
      <w:r>
        <w:rPr>
          <w:b/>
        </w:rPr>
        <w:t>E. 6.1</w:t>
      </w:r>
    </w:p>
    <w:p>
      <w:r>
        <w:t>Das SEM begründete seine ablehnende Verfügung damit, bei den geltend gemachten Vorfällen handle es sich um flüchtlingsrechtlich irrelevante Übergriffe durch Dritte, zumal im Heimatland der Beschwerdeführenden eine effektive Strafverfolgung durch die Justizbehörden möglich sei und eine wirksame und funktionierende Infrastruktur zur Schutzgewährung zur Verfügung stehe. Zudem ergäben sich aus den Akten keine Hinweise, dass ihnen die staatliche Schutzinfrastruktur nicht zugänglich wäre und die sri-lankischen Behörden offensichtlich aus einem Grund nach Art. 3 AsylG nicht willens wären, ihnen mittels konkreter und geeigneter Massnahmen Schutz vor allfälligen Übergriffen zu gewähren. Im Bedarfsfall könne sich der Beschwerdeführer 1 an die heimatlichen Strafverfolgungsbehörden wenden. Ohnehin handle es sich bei den geltend gemachten Problemen um lokal oder regional bedingte Nachteile, denen sie sich durch einen Wegzug in einen anderen Teil ihres Heimatlandes entziehen könnten. Aus den dargelegten Gründen seien sie folglich nicht auf den Schutz der Schweiz angewiesen. Unbenommen von der fehlenden Asylrelevanz müsse die Glaubhaftigkeit der geltend gemachten Vorbringen wegen diverser Ungereimtheiten bezweifelt werden. Schliesslich sei die persönliche wirtschaftliche Situation - namentlich der Umstand, dass der Beschwerdeführer 1 arbeitslos sei und von seinem Schwager unterstützt würde - nicht einreisebeachtlich im Sinne von Art. 3 AsylG. Zusammenfassend sei festzuhalten, dass die Beschwerdeführenden nicht schutzbedürftig im Sinne von Art. 3 AsylG seien.</w:t>
      </w:r>
    </w:p>
    <w:p>
      <w:r>
        <w:rPr>
          <w:b/>
        </w:rPr>
        <w:t>E. 6.2</w:t>
      </w:r>
    </w:p>
    <w:p>
      <w:r>
        <w:t>In der Beschwerdeschrift wird ausgeführt, das abgelehnte Asylgesuch und die verweigerte Einreise hätten den Beschwerdeführer 1 in einen Zustand der mentalen Agonie versetzt, von deren Folgen er sich nun in der Schweiz erholen müsse. Zudem sei die Situation in Sri-Lanka nur vermeintlich stabil, die Probleme der Beschwerdeführenden nähmen täglich zu und ihre Situation werde sich trotz des bevorstehenden Regierungswechsels noch verschlechtern.</w:t>
      </w:r>
    </w:p>
    <w:p>
      <w:r>
        <w:rPr>
          <w:b/>
        </w:rPr>
        <w:t>E. 6.3</w:t>
      </w:r>
    </w:p>
    <w:p>
      <w:r>
        <w:t>Nach Prüfung der Akten können diesen keine Hinweise entnommen werden, wonach der Beschwerdeführer 1 gegenwärtig einer konkreten Gefährdung ausgesetzt ist oder eine unmittelbar drohende Gefährdung akut zu befürchten hätte. Die geltend gemachte Zwangsrekrutierung durch die (...)-Gruppe soll sich vor knapp acht Jahren im März 2008 zugetragen haben und den Akten lassen sich keine Hinweise entnehmen, wonach sich dieses Vorkommnis zu wiederholen droht. Dasselbe gilt für das Schreiben der (...) vom (...) und - unabhängig von deren Urheber - für den nächtlichen Überfall vom (...). Was schliesslich die angeblichen Nachforschungen durch unbekannte Personen anbelangt, kommt diesen aufgrund mangelnder Intensität per se kein Verfolgungscharakter zu, weshalb nicht von einer akuten Gefährdung beziehungsweise von einer asylrechtlich relevanten Verfolgung ausgegangen werden kann, auch wenn nicht in Abrede zu stellen ist, dass diese Kontaktnahmen, die Wahrheit vorausgesetzt, belastend gewesen sein mussten. Sodann ist festzuhalten, dass die Ausführungen zur allgemeinen Menschenrechtlage in Sri Lanka für das vorliegende Verfahren mangels unmittelbarem Bezug zu den Beschwerdeführenden irrelevant sind, weshalb sich eine Auseinandersetzung mit denselben erübrigt. Es kann im Weiteren auf die zutreffende vorinstanzliche Verfügung verwiesen werden, welche nicht zu beanstanden ist. Zusammenfassend ergibt sich, dass vorliegend nicht ersichtlich ist, dass die Beschwerdeführenden auf die Schutzgewährung durch die Schweiz angewiesen beziehungsweise ihnen gerade die Schweiz den erforderlichen Schutz gewähren muss. Der weitere Verbleib in Sri Lanka ist ihnen nach dem Gesagten unabhängig von wirtschaftlichen Schwierigkeiten und in der Beschwerde geltend gemachten, nicht näher präzisierten psychischen Schwierigkeiten zuzumuten. Im Übrigen ist auch eine Beziehungsnähe der Beschwerdeführenden zur Schweiz zu verneinen (aArt. 52 Abs. 2 AsylG). Die Vorinstanz hat ihnen die Einreise in die Schweiz zurecht verweigert und das Asylgesuch abgelehnt.</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Ausgang des Verfahrens wären die Kosten grundsätzlich den Beschwerdeführenden aufzuerlegen (Art. 63 Abs. 1 VwVG). Aus verwal­tungsökonomischen Gründen sowie in Anwendung von Art. 63 Abs. 1 in fine VwVG und Art. 6 Abs. 1 Bst. b des Reglements vom 21. Februar 2008 über die Kosten und Entschädigungen vor dem Bundesverwaltungsgericht (VGKE, SR 173.320.2) ist indessen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