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D-3214/2024 vom 30. April 2024</w:t>
      </w:r>
    </w:p>
    <w:p>
      <w:r>
        <w:t>Bundesverwaltungsgericht, 2024-04-30, DE</w:t>
      </w:r>
    </w:p>
    <w:p>
      <w:r>
        <w:rPr>
          <w:b/>
        </w:rPr>
        <w:t xml:space="preserve">Quelle: </w:t>
      </w:r>
      <w:r>
        <w:t>https://mcp.opencaselaw.ch/entscheid/bvger_D-3214_2024_d20240430</w:t>
      </w:r>
    </w:p>
    <w:p>
      <w:r>
        <w:t>FR: TAF D-3214/2024 du 30 avril 2024</w:t>
      </w:r>
    </w:p>
    <w:p>
      <w:r>
        <w:t>IT: TAF D-3214/2024 del 30 aprile 2024</w:t>
      </w:r>
    </w:p>
    <w:p>
      <w:pPr>
        <w:pStyle w:val="Heading2"/>
      </w:pPr>
      <w:r>
        <w:t>Regeste</w:t>
      </w:r>
    </w:p>
    <w:p>
      <w:r>
        <w:t>Asyl und Wegweisung | Asyl und Wegweisung; Verfügung des SEM vom 30. April 2024</w:t>
      </w:r>
    </w:p>
    <w:p>
      <w:pPr>
        <w:pStyle w:val="Heading2"/>
      </w:pPr>
      <w:r>
        <w:t>Erwägungen</w:t>
      </w:r>
    </w:p>
    <w:p>
      <w:r>
        <w:rPr>
          <w:b/>
        </w:rPr>
        <w:t>E. 29</w:t>
      </w:r>
    </w:p>
    <w:p>
      <w:r>
        <w:t>September 2025 E.5.3.1; D-4094/2025 vom 14. Juli 2025 S. 5), dass die mit der Beschwerdeschrift eingereichten Urteile türkischer Straf- gerichte keinerlei persönlichen Bezug zu den Beschwerdeführenden auf- weisen (vgl. Beschwerdebeilage 4-6), weshalb sie auch daraus nichts zu ihren Gunsten abzuleiten vermögen, dass die auf Beschwerdeebene erstmals geltend gemachte Reflexverfol- gung der Beschwerdeführenden aufgrund ihrer angeblich politisch aktiven Verwandten nachgeschoben erscheint und damit nicht glaubhaft ist, nach- dem die Aussagen der Beschwerdeführenden zu deren politischen Aktivi- täten stets vage ausfielen und sie in diesem Zusammenhang nicht geltend machten, ernsthaften Nachteilen ausgesetzt gewesen zu sein (vgl. A24/10 F48 und A35/11 F72 ff.), dass auch das geltend gemachte exilpolitische Engagement des volljähri- gen Beschwerdeführers in der Schweiz, welches sich augenscheinlich auf die zweimalige Teilnahme an Massenveranstaltungen beschränkt (vgl. A36/15 F65 f.), als niederschwellig zu qualifizieren und flüchtlings- rechtlich ebenso wenig relevant ist, dass es den Beschwerdeführenden somit nicht gelingt, die Flüchtlingsei- genschaft nachzuweisen oder zumindest glaubhaft zu machen, weshalb die Vorinstanz die Asylgesuche zu Recht abgelehnt hat, dass die Anordnung der Wegweisung aus der Schweiz im Einklang mit den gesetzlichen Bestimmungen steht und zu bestätigen ist, da die Beschwer- deführenden insbesondere weder über einen Aufenthaltstitel für die Schweiz noch über einen Anspruch auf Erteilung eines solchen verfügen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w:t>
      </w:r>
    </w:p>
    <w:p>
      <w:r>
        <w:t>D-3214/2024 Seite 8 Beweisstandard wie bei der Flüchtlingseigenschaft gilt (vgl. BVGE 2011/24 E. 10.2 m.w.H.), dass sich der Vollzug der Wegweisung in Beachtung der massgeblichen völker- und landesrechtlichen Bestimmungen als zulässig erweist (Art. 83 Abs. 3 AIG), da nach den vorstehenden Erwägungen keine Hinweise auf eine flüchtlingsrechtlich relevante Verfolgung bestehen (Art. 5 Abs. 1 AsylG; Art. 33 Abs. 1 FK [SR 0.142.30]) und auch keine konkreten Anhalts- punkte für eine in der Heimat drohende menschenrechtswidrige Behand- lung (im Sinne von Art. 3 EMRK) ersichtlich sind, dass gemäss konstanter Praxis des Bundesverwaltungsgerichts in der ge- samten Türkei nicht von einer Situation allgemeiner Gewalt oder bürger- kriegsähnlichen Verhältnissen auszugehen ist, was auch für Angehörige der kurdischen Ethnie gilt (vgl. statt vieler Urteile des BVGer E-4459/2025 vom 14. Juli 2025 E.9.3.2; Referenzurteil des BVGer E-4103/2024 vom 8. November 2024 E. 13.2), dass hinsichtlich der Zumutbarkeit des Wegweisungsvollzugs im Übrigen vollumfänglich auf die zutreffenden Ausführungen in der angefochtenen Verfügung verwiesen werden kann (vgl. A45/18 S. 14 f.), welchen die Be- schwerdeführenden in der Rechtsmitteleingabe nichts Substantielles ent- gegensetzen, dass auf die von den Beschwerdeführenden geltend gemachten Integrati- onsbemühungen und die in diesem Zusammenhang eingereichten Belege nicht näher einzugehen ist, zumal der Grad der Integration grundsätzlich kein Kriterium für die Beurteilung der Zumutbarkeit des Wegweisungs- vollzugs im Sinne von Art. 83 Abs. 4 AIG bildet (BVGE 2009/52 E. 10.3; EMARK 2016 Nr. 13 E. 3.5), dass sich dem mit Eingabe vom 3. Februar 2025 eingereichten Sprech- stundenbericht des Universitätsspitals (…) vom 24. Januar 2025 kein aku- ter Behandlungsbedarf der bei der volljährigen Beschwerdeführerin diag- nostizierten Thrombose der Vena jugularis entnehmen lässt und sich aus vorgenanntem Bericht vielmehr ergibt, dass sich das Blutgerinnsel mittler- weile vollständig aufgelöst hat («vollständige Rekanalisation»; vgl. a.a.O.), dass auch das Kindeswohl dem Vollzug der Wegweisung offensichtlich nicht entgegensteht, hielten sich die minderjährigen Beschwerdeführenden lediglich kurze Zeit in der Schweiz auf und werden gemeinsam mit ihren Eltern – ihrer Hauptbezugsperson – in den Heimatstaat zurückkehren,</w:t>
      </w:r>
    </w:p>
    <w:p>
      <w:r>
        <w:t>D-3214/2024 Seite 9 dass sich der Vollzug der Wegweisung somit in allgemeiner wie auch in individueller Hinsicht als zumutbar erweist, dass es den Beschwerdeführenden obliegt, sich die für ihre Rückkehr al- 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den Beschwerdefüh- renden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w:t>
      </w:r>
    </w:p>
    <w:p>
      <w:r>
        <w:t>(Dispositiv nächste Seite)</w:t>
      </w:r>
    </w:p>
    <w:p>
      <w:r>
        <w:t>D-3214/2024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