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D-3202/2024 vom 27. September 2024</w:t>
      </w:r>
    </w:p>
    <w:p>
      <w:r>
        <w:t>Bundesverwaltungsgericht, 2024-09-27, DE</w:t>
      </w:r>
    </w:p>
    <w:p>
      <w:r>
        <w:rPr>
          <w:b/>
        </w:rPr>
        <w:t xml:space="preserve">Quelle: </w:t>
      </w:r>
      <w:r>
        <w:t>https://mcp.opencaselaw.ch/entscheid/bvger_D-3202_2024</w:t>
      </w:r>
    </w:p>
    <w:p>
      <w:r>
        <w:t>FR: TAF D-3202/2024 du 27 septembre 2024</w:t>
      </w:r>
    </w:p>
    <w:p>
      <w:r>
        <w:t>IT: TAF D-3202/2024 del 27 settembre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w:t>
      </w:r>
    </w:p>
    <w:p>
      <w:r>
        <w:t>D-3202/2024 Seite 5 Bundesverwaltungsgerichts. Eine das Sachgebiet betreffende Ausnahme im Sinne von Art. 32 VGG liegt nicht vor. Das Bundesverwaltungsgericht ist daher zuständig für die Beurteilung der vorliegenden Beschwerde und ent- scheidet auf dem Gebiet des Asyls endgültig, ausser bei Vorliegen eines Auslieferungsersuchens des Staates, vor welchem die beschwerdefüh- rende Person Schutz sucht (Art. 105 AsylG [SR 142.31]; Art. 83 Bst. d Ziff. 1 BGG). Eine solche Ausnahme im Sinne von Art. 83 Bst. d Ziff. 1 BGG liegt nicht vor, weshalb das Bundesverwaltungsgericht endgültig entschei- 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Beschwerdeführerin hat im Sinne eines Eventualbegehrens die Rück- weisung der Sache an die Vorinstanz zur weiteren Sachverhaltsabklärung beantragt. So sei ihre konkrete Verfolgungslage in der Türkei nicht genü- gend abgeklärt worden. Die Vorinstanz habe die Ablehnung auf die An- nahme gestützt, dass die türkischen Behörden schutzfähig und schutzwillig seien. Dieser Annahme würde aber eine unzureichende und pauschale Be- wertung zugrunde liegen. Die Vorinstanz sei nicht genügend auf die indivi- duellen Umstände der Beschwerdeführerin eingegangen.</w:t>
      </w:r>
    </w:p>
    <w:p>
      <w:r>
        <w:t>Diese Rüge ist zurückzuweisen, zumal sich die Vorinstanz mit dem vorlie- genden Einzelfall genügend auseinandergesetzt hat. Der Einwand, die Be- schwerdeführerin stamme aus einem mächtigen Clan, wurde denn auch auf Beschwerdeebene erstmals vorgebracht. Vor dem Hintergrund der nachfolgenden Erwägungen ist von einem in entscheidrelevanter Hinsicht</w:t>
      </w:r>
    </w:p>
    <w:p>
      <w:r>
        <w:t>D-3202/2024 Seite 6 hinreichend erstellten Sachverhalt auszugehen, weshalb das Gericht in der Sache zu entscheiden hat (Art. 61 Abs. 1 VwVG).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seiner Verfügung hielt das SEM im Wesentlichen fest, dass Übergriffe durch Dritte oder Befürchtungen, künftig solchen ausge- setzt zu sein, nur dann flüchtlingsrechtlich relevant seien, wenn der Staat nicht schutzwillig oder schutzfähig sei. Eine verfolgte Person müsse Zu- gang zu diesem Schutz haben und die Inanspruchnahme zumutbar sein. Gemäss dem Subsidiaritätsprinzip erfülle eine Person, die in ihrem Her- kunftsland Schutz vor nichtstaatlicher Verfolgung finden könne, die Voraus- setzungen für die Zuerkennung der Flüchtlingseigenschaft nicht. Kein Staat könne die absolute Sicherheit aller Bürger und Bürgerinnen gewähr- leisten. Erforderlich sei vielmehr, dass eine funktionierende und wirksame Schutzinfrastruktur zur Verfügung stehe. So müssten etwa funktionierende polizeiliche Einrichtungen und ein verlässliches Rechts- und Justizsystem vorhanden sein, welches eine effektive Strafverfolgung ermögliche. Für die Türkei sei eine solche funktionierende und effiziente Schutzinfrastruktur grundsätzlich zu bejahen.</w:t>
      </w:r>
    </w:p>
    <w:p>
      <w:r>
        <w:t>D-3202/2024 Seite 7 Das Bundesverwaltungsgericht habe sich in den letzten Jahren mehrfach mit der Schutzfähigkeit und dem Schutzwillen der türkischen Behörden in Bezug auf Opfer von häuslicher Gewalt, Zwangsheirat und Ehrenmorden auseinandergesetzt. Es habe dabei festgehalten, dass die Türkei in den letzten Jahren immer wieder Schritte zur Verbesserung der rechtlichen und gesellschaftlichen Situation der Frauen unternommen habe. Auch wenn in der Türkei unbestrittenermassen nach wie vor Ehrenmorde und häusliche Gewalt zu registrieren seien, bedeute dies nicht, dass die bedrohten Frauen innerfamiliären Übergriffen völlig schutzlos ausgeliefert seien. Die türkischen Behörden seien entschlossen, effektiv gegen häusliche Gewalt vorzugehen, und grundsätzlich in der Lage, Schutz zu gewähren. Das SEM stellt allerdings fest, dass die Türkei den erwähnten Reformkurs zum Schutz der Frauen seit einiger Zeit nicht mehr in gleichem Masse wei- terverfolge. So sei die Türkei etwa im Jahre 2021 wieder aus der Istanbul- Konvention ausgetreten. Dies sei aber nicht genug, um die gefestigte Pra- xis zur Schutzfähigkeit und Schutzbereitschaft der türkischen Behörden grundlegend umzustossen. Die Beschwerdeführerin habe ausgeführt, dass sie sich niemals an die Po- lizei gewandt habe. Dies weil viele gefährdete Frauen, obwohl sie sich an die Polizei gewandt hätten, von ihren Familien umgebracht worden seien. Auch bei einer Hilfsorganisation hätte sie nicht um Hilfe gebeten. Da sie der Polizei nicht vertrauen könne, könne ihr auch eine private Hilfsorgani- sation nicht weiterhelfen. Die Beschwerdeführerin habe somit weder kon- krete Hinweise geliefert, wonach die Polizei tatsächlich keinen Schutz bie- ten würde, noch habe sie aufzeigen können, dass es ihr nicht zuzumuten sei, sich an die Polizei zu wenden. Bei der Beschwerdeführerin sei zudem das Vorhandensein einer inner- staatlichen Fluchtalternative zu bejahen. Es sei ihr zuzumuten, sich in ei- nem anderen Landesteil niederzulassen. So habe sie bereits aufgrund ih- res Studiums ausserhalb von B._______ gelebt und habe eine Ausbildung, so dass sie unabhängig von ihrer Familie leben könne. Zusammenfassend sei festzustellen, dass der türkische Staat entschlos- sen sei, Ehrverbrechen zu bekämpfen. So würde die Türkei über eine funk- tionierende und effiziente staatliche Infrastruktur verfügen und es sei der Beschwerdeführerin zuzumuten, dass sie Schritte bei diesen Stellen unter- nehmen würde, um Schutz vor den Familienmitgliedern zu suchen. Die Be- schwerdeführerin würde folglich die Flüchtlingseigenschaft nicht erfüllen.</w:t>
      </w:r>
    </w:p>
    <w:p>
      <w:r>
        <w:t>D-3202/2024 Seite 8</w:t>
      </w:r>
    </w:p>
    <w:p>
      <w:r>
        <w:rPr>
          <w:b/>
        </w:rPr>
        <w:t>E. 5.2</w:t>
      </w:r>
    </w:p>
    <w:p>
      <w:r>
        <w:t>Die Beschwerdeführerin hielt in ihrer Rechtsmitteleingabe fest, dass sie wegen frauenspezifischer Gründe einer Verfolgung durch ihre Familie aus- gesetzt worden sei. Ihr Verhalten sei als unehrenhaft betrachtet worden und ihre Familie habe sich gezwungen gesehen, die Ehre der Familie wie- derherzustellen. Vom Vater und vom Rest der Familie seien der Beschwer- deführerin gegenüber realen Drohungen ausgegangen und sie könne vor diesen Drohungen in der Türkei keinen Schutz erwarten. So würden die türkischen Behörden untätig bleiben beziehungsweise könnten polizeiliche Massnahmen und gesetzliche Sanktionen Ehrenmorde in der Türkei nicht verhindern. Verstärkt werde dies dadurch, dass Religion und Tradition immer noch stark verankert seien. Der Austritt aus der Istanbul-Konvention im Jahre 2021 zeige klar die fehlende politische Bereitschaft, Frauen vor geschlech- terspezifischer Gewalt zu schützen. Es bestehe keine Schutzwilligkeit des türkischen Staates und die Beschwerdeführerin befürchte, bei einer Rück- kehr in die Türkei auf sich alleine gestellt zu sein. Die Familie der Beschwerdeführerin sei zudem in der Türkei bekannt und gehöre einem der ältesten Stämme, dem Badikan Stamm, an. Dieser Um- stand hätte es umso schwieriger gemacht, sich an die Polizei oder ein Frauenhaus zu wenden, da man in der Gesellschaft Angst habe, sich ge- gen Mitglieder dieses Stammes zu stellen. Während es in der Theorie zwar gesetzliche Regelungen und Einrichtungen zum Schutz von Frauen vor häuslicher Gewalt gäbe, sei die praktische Umsetzung unzureichend. Die Beschwerdeführerin könne folglich nicht darauf vertrauen, bei einer Rück- kehr in die Türkei, vor weiteren Übergriffen der Familie geschützt zu wer- den. Sie fürchte eine erneute und möglicherweise gar tödliche Verfolgung und erfülle deshalb die Flüchtlingseigenschaft. Die Beschwerdeführerin habe schliesslich auch keine realistische Möglich- keit, innerhalb der Türkei einen sicheren Zufluchtsort zu finden. Der Badi- kan Stamm habe grossen Einfluss und sei somit in der Lage, sie überall aufzuspüren. Sie sei daher bei einer Rückkehr einer unmittelbaren Gefahr an Leib und Leben ausgesetzt, so dass eine Rückkehr im Lichte von Art. 3 EMRK als unzulässig wie auch als unzumutbar qualifiziert werden müsse.</w:t>
      </w:r>
    </w:p>
    <w:p>
      <w:r>
        <w:rPr>
          <w:b/>
        </w:rPr>
        <w:t>E. 5.3</w:t>
      </w:r>
    </w:p>
    <w:p>
      <w:r>
        <w:t>In ihrer Vernehmlassung führte die Vorinstanz aus, dass es sich bei der geltend gemachten Zugehörigkeit zum Badikan Stamm um ein nachge- schobenes Vorbringen handle. Zudem habe die Beschwerdeführerin dar- gelegt, dass sie ihre Familie finanziell unterstützt habe, was gegen die</w:t>
      </w:r>
    </w:p>
    <w:p>
      <w:r>
        <w:t>D-3202/2024 Seite 9 behauptete Machtposition des Stamms spreche. Auch wenn der Stamm einen gewissen Einfluss habe, sei davon auszugehen, dass sich dieser auf B._______ beschränke und dass die Beschwerdeführerin in Istanbul im- mer noch Schutz suchen könne.</w:t>
      </w:r>
    </w:p>
    <w:p>
      <w:r>
        <w:rPr>
          <w:b/>
        </w:rPr>
        <w:t>E. 5.4</w:t>
      </w:r>
    </w:p>
    <w:p>
      <w:r>
        <w:t>Dem erwiderte die Beschwerdeführerin in ihrer Replik, dass sich die Macht des Stamms nicht nur auf B._______ beschränke. Zudem sei sie, sobald sie einer Arbeit nachgehe, über ihre Sozialversicherungsnummer überall auffindbar.</w:t>
      </w:r>
    </w:p>
    <w:p>
      <w:r>
        <w:rPr>
          <w:b/>
        </w:rPr>
        <w:t>E. 6.1</w:t>
      </w:r>
    </w:p>
    <w:p>
      <w:r>
        <w:t>Das Bundesverwaltungsgericht hat sich in den letzten Jahren mehrfach mit der Schutzfähigkeit und dem Schutzwillen der türkischen Behörden im Umgang mit häuslicher Gewalt geäussert (vgl. die Urteile des BVGer E-1948/2018 vom 12. Juni 2018, E-3040/2017 vom 28. Juli 2017, D-5700/2014 vom 28. April 2016, D-3305/2015 vom 4. Januar 2016, E-1691/2015 vom 30. April 2015, E-2166/2015 vom 30. April 2015, D-4592/2013 vom 8. Januar 2014) und dabei zusammenfassend Folgen- des festgestellt: Die Türkei hat in den letzten Jahren immer wieder Schritte zur Verbesse- rung der rechtlichen und sozialen Situation von Frauen und insbesondere zu ihrem Schutz vor Übergriffen mit soziokulturellem Hintergrund unter- nommen. Im Jahre 2012 trat das Gesetz Nr. 6284 zum Schutz der Familie und zur Verhinderung von Gewalt gegen Frauen in Kraft. Dieses dient dem Schutz der Opfer und sieht Schutz- und Unterstützungsmassnahmen vor, wobei sämtliche Frauen, so auch unverheiratete, unter diesen Schutz fal- len. Zur Umsetzung des im Jahre 1998 in Kraft getretenen und 2007 er- gänzten Familienschutzgesetzes Nr. 4320 wurden 166 Familiengerichte eingerichtet. Der Zugang zu diesen Gerichten und die Vollstreckung ihrer Urteile sind für die klagende Partei kostenlos. Bei der Revision des türki- schen Strafgesetzbuches im Jahre 2004 wurde der Strafrahmen bei Taten gegen Frauen erhöht und die Strafmilderungsgründe bei Ehrenmord und Vergewaltigung abgeschafft. Bereits im Jahre 1990 wurden in der Türkei Frauenhäuser eröffnet, um Opfern häuslicher Gewalt Hilfe und Schutz zu bieten. Das zuständige Ministerium arbeitet am Ausbau dieser Infrastruk- tur, um sicherzustellen, dass in jeder türkischen Provinz mindestens ein Frauenhaus vorhanden ist. In der Türkei finden unbestrittenermassen nach wie vor Ehrenmorde und häusliche Gewalt statt, was jedoch nicht damit gleichzusetzen ist, dass bedrohte Frauen in der Türkei innerfamiliären Übergriffen schutzlos ausgeliefert sind. Die vorstehenden Ausführungen</w:t>
      </w:r>
    </w:p>
    <w:p>
      <w:r>
        <w:t>D-3202/2024 Seite 10 zeigen vielmehr, dass die türkischen Behörden entschlossen sind, gegen die Gewalt an Frauen effektiv vorzugehen, und dass sie grundsätzlich auch in der Lage sind, diesen Schutz zu gewähren. In mehreren Urteilen und in den darin zitierten Berichten wird allerdings auf den Umstand hingewiesen, dass die Infrastruktur für den Schutz von Frauen in den städtischen Gebieten der Türkei dichter ist als in ruralen Ge- genden.</w:t>
      </w:r>
    </w:p>
    <w:p>
      <w:r>
        <w:rPr>
          <w:b/>
        </w:rPr>
        <w:t>E. 6.2</w:t>
      </w:r>
    </w:p>
    <w:p>
      <w:r>
        <w:t>Wie in neueren Urteilen bereits ausgeführt (vgl. die Urteile des BVGer D-4762/2023 vom 20. September 2023, E-2355/2024 vom 14. Juni 2024) bestehen Anzeichen dafür, dass die Türkei den oben beschriebenen Re- formkurs seit einiger Zeit nicht mehr gleich kraftvoll verfolgt. Der türkische Staatspräsident Erdogan war in den letzten Jahren wieder- holt mit umstrittenen Äusserungen zur Rolle der Frau in der türkischen Ge- sellschaft in den Medien zitiert worden. Im November 2016 brachte seine Regierungspartei AKP den Entwurf eines Amnestiegesetzes ins Parlament ein, der Sexualtäter in Einzelfällen vor Strafe schützen wollte, wenn sie ihr minderjähriges Opfer heiraten; nach heftigen Protesten der Opposition und des Kinderhilfswerks der Vereinten Nationen (Unicef) wurde der Vorstoss zurückgezogen. Seit dem gescheiterten Putsch von Mitte Juli 2016 ist in der Türkei eine Zunahme der Gewalt gegen Frauen zu verzeichnen und es scheint sich in der türkischen Politik zunehmend ein konservativ-religiös geprägtes Frauenbild durchzusetzen (vgl. dazu Urteil des BVGer E-1948/2018 vom 12. Juni 2018). Am 1. Juli 2021 ist die Türkei zudem aus der Istanbul-Konvention ausgetreten.</w:t>
      </w:r>
    </w:p>
    <w:p>
      <w:r>
        <w:rPr>
          <w:b/>
        </w:rPr>
        <w:t>E. 6.3</w:t>
      </w:r>
    </w:p>
    <w:p>
      <w:r>
        <w:t>Die oben erwähnten Rückschritte bezüglich Schutz der Frauen vor häuslicher Gewalt vermögen jedoch nicht dazu zu führen, dass vorliegend von mangelndem Schutz auszugehen wäre. Vielmehr ist im Lichte obiger Ausführung dem Entscheid der Vorinstanz dahingehend zu folgen, als die türkischen Behörden als schutzfähig und schutzwillig zu qualifizieren sind, zumal es der gut gebildeten und offensichtlich sehr selbständigen Be- schwerdeführerin zuzumuten ist, sich um Schutz zu bemühen beziehungs- weise einer allfälligen Gefahr innerstaatlich auszuweichen. Es ist der Be- schwerdeführerin denn auch negativ anzulasten, dass sie bisher nicht ein- mal den Versuch unternommen hat, bei den Sicherheitskräften Schutz ein- zufordern, zumal die notwendige Schutzinfrastruktur jedenfalls in städti- schen Gebieten grundsätzlich gegeben ist. Der erstmals auf Beschwerde- ebene vorgebrachte Einwand, der Vater habe eine besondere</w:t>
      </w:r>
    </w:p>
    <w:p>
      <w:r>
        <w:t>D-3202/2024 Seite 11 Machtposition in einem einflussreichen Clan, weshalb die Polizei sie nicht schützen würde, muss als nachgeschoben zurückgewiesen werden. Ent- sprechendes hätte die Beschwerdeführerin zweifellos bereits im Rahmen der Anhörung geltend gemacht, wäre dies der Grund für angeblich fehlen- den Polizeischutz. Aus ihren Aussagen ergeben sich jedoch keinerlei Hin- weise darauf, dass es sich bei ihrem Vater um eine gesellschaftlich mäch- tige Persönlichkeit handeln könnte. Auch die Möglichkeit, die Familie könne sie im gesamten Staatsgebiet ausfindig machen, erachtet das Gericht auf- grund der Aktenlage als nicht realistisch.</w:t>
      </w:r>
    </w:p>
    <w:p>
      <w:r>
        <w:rPr>
          <w:b/>
        </w:rPr>
        <w:t>E. 6.4</w:t>
      </w:r>
    </w:p>
    <w:p>
      <w:r>
        <w:t>Zusammenfassend ist somit festzuhalten, dass sich die Beschwerde- führerin bei allfälligen von ihren Angehörigen drohenden gewaltsamen Übergriffen an schutzwillige und schutzfähige Behörden wenden kann. Es ist ihr nicht gelungen, eine drohende asylrechtlich relevante Verfolgung glaubhaft zu machen oder nachzuweisen. Die Vorinstanz hat folglich die Flüchtlingseigenschaft der Beschwerdeführerin zu Recht verneint und das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D-3202/2024 Seite 12</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w:t>
      </w:r>
    </w:p>
    <w:p>
      <w:r>
        <w:rPr>
          <w:b/>
        </w:rPr>
        <w:t>E. 8.2.5</w:t>
      </w:r>
    </w:p>
    <w:p>
      <w:r>
        <w:t>Sodann ergeben sich weder aus den Aussagen der Beschwerde- führerin noch aus den Akten Anhaltspunkte dafür, dass sie für den Fall ei- ner Ausschaffung in den Heimatstaat dort mit beachtlicher Wahrscheinlich- keit einer nach Art. 3 EMRK oder Art. 1 FoK verbotenen Strafe oder Be- handlung ausgesetzt wäre. Gemäss Praxis des Europäischen Gerichtsho- fes für Menschenrechte (EGMR) sowie jener des UN-Anti-Folterausschus- ses müsste die Beschwerdeführerin eine konkrete Gefahr ("real risk") nachweisen oder glaubhaft machen, dass ihr im Fall einer Rückschiebung Folter oder unmenschliche Behandlung drohen würde (vgl. Urteil des EGMR Saadi gegen Italien 28. Februar 2008, Grosse Kammer 37201/06, §§ 124–127 m.w.H.). Nach den vorstehenden Ausführungen gelingt ihr das nicht. Entgegen den Ausführungen der Beschwerdeführerin geht das</w:t>
      </w:r>
    </w:p>
    <w:p>
      <w:r>
        <w:t>D-3202/2024 Seite 13 Gericht, wie bereits ausgeführt, davon aus, dass durchaus die Möglichkeit besteht, in der Türkei Schutz und einen sicheren Zufluchtsort zu bekom- men. Auch die allgemeine Menschenrechtssituation im Heimatstaat lässt den Wegweisungsvollzug zum heutigen Zeitpunkt nicht als unzulässig er- 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Nach konstanter Praxis des Bundesverwaltungsgerichts ist selbst un- ter Berücksichtigung der Entwicklungen im Nachgang des Putschversuchs im Juli 2016 nicht davon auszugehen, dass in der Türkei eine landesweite Situation allgemeiner Gewalt herrscht. Auch in den vorwiegend von Kurden besiedelten Provinzen im Osten und Südosten des Landes ist nicht von einer flächendeckenden Situation allgemeiner Gewalt oder bürgerkriegs- ähnlichen Verhältnissen auszugehen (vgl. Urteil des BVGer E-1948/2018 vom 12. Juni 2018 und D-2184/2021 vom 5. September 2022).</w:t>
      </w:r>
    </w:p>
    <w:p>
      <w:r>
        <w:rPr>
          <w:b/>
        </w:rPr>
        <w:t>E. 8.3.3</w:t>
      </w:r>
    </w:p>
    <w:p>
      <w:r>
        <w:t>Die Beschwerdeführerin ist gesund, hat eine abgeschlossene univer- sitäre Ausbildung und verfügt über breite Arbeitserfahrung. Damit ist nicht davon auszugehen, dass sie – unabhängig von der Unterstützung durch ihre Familie – in eine existenzielle Notlage geraten wird.</w:t>
      </w:r>
    </w:p>
    <w:p>
      <w:r>
        <w:rPr>
          <w:b/>
        </w:rPr>
        <w:t>E. 8.3.4</w:t>
      </w:r>
    </w:p>
    <w:p>
      <w:r>
        <w:t>Nach dem Gesagten erweist sich der Vollzug der Wegweisung auch als zumutbar.</w:t>
      </w:r>
    </w:p>
    <w:p>
      <w:r>
        <w:rPr>
          <w:b/>
        </w:rPr>
        <w:t>E. 8.4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D-3202/2024 Seite 14</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der Beschwerdeführerin aufzuerlegen (Art. 63 Abs. 1 VwVG). Mit Zwischenver- fügung vom 28. Mai 2024 hiess die Instruktionsrichterin das Gesuch um Gewährung der unentgeltlichen Prozessführung gestützt auf Art. 65 Abs. 1 VwVG zufolge Mittellosigkeit der Beschwerdeführerin gut. Von einer mass- geblichen Veränderung der finanziellen Situation der Beschwerdeführerin ist vorliegend nicht auszugehen, weshalb von der Erhebung von Verfah- renskosten abzusehen ist.</w:t>
      </w:r>
    </w:p>
    <w:p>
      <w:r>
        <w:t>(Dispositiv nächste Seite)</w:t>
      </w:r>
    </w:p>
    <w:p>
      <w:r>
        <w:t>D-3202/2024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