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D-31/2019 vom 29. Januar 2021</w:t>
      </w:r>
    </w:p>
    <w:p>
      <w:r>
        <w:t>Bundesverwaltungsgericht, 2021-01-29, DE</w:t>
      </w:r>
    </w:p>
    <w:p>
      <w:r>
        <w:rPr>
          <w:b/>
        </w:rPr>
        <w:t xml:space="preserve">Quelle: </w:t>
      </w:r>
      <w:r>
        <w:t>https://mcp.opencaselaw.ch/entscheid/bvger_D-31_2019</w:t>
      </w:r>
    </w:p>
    <w:p>
      <w:r>
        <w:t>FR: TAF D-31/2019 du 29 janvier 2021</w:t>
      </w:r>
    </w:p>
    <w:p>
      <w:r>
        <w:t>IT: TAF D-31/2019 del 29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Sinne einer Vorbemerkung ist festzuhalten, dass sich das Bundesverwaltungsgericht in Ausübung seiner Verfahrenshoheit während des hängigen Beschwerdeverfahrens und im Lichte von Art. 27 Abs. 1 VwVG nicht veranlasst sieht, dem Beschwerdeführer über die in der Vernehmlassung des SEM enthaltenen Angaben zur Botschaftsauskunft hinausgehende Informationen bekanntzugeben. Ein entsprechender Antrag wurde vom anwaltlich vertretenen Beschwerdeführer denn auch nicht gestellt. Die in der vorinstanzlichen Vernehmlassung enthaltenen Angaben sind zwar knapp, jedoch unter Berücksichtigung des öffentlichen Interesses an der Verhinderung eines Lerneffektes bei der Einreichung gefälschter Dokumente als genügend zu erachten.</w:t>
      </w:r>
    </w:p>
    <w:p>
      <w:r>
        <w:rPr>
          <w:b/>
        </w:rPr>
        <w:t>E. 4.1</w:t>
      </w:r>
    </w:p>
    <w:p>
      <w:r>
        <w:t>Vorab ist die formelle Rüge des Beschwerdeführers betreffend unvollständiger respektive unrichtiger Sachverhaltsfeststellung und damit Verletzung des rechtlichen Gehörs seitens der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rechtsrelevanten Sachumstände berücksichtigt wurden, unrichtig, wenn der Verfügung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4.3</w:t>
      </w:r>
    </w:p>
    <w:p>
      <w:r>
        <w:t>Die formellen Rügen des Beschwerdeführers vermögen nicht zu greifen. Das SEM hat die vom Beschwerdeführer nach der Anhörung beigebrachten Beweismittel entgegengenommen und sich in seinem Entscheid mit diesen auseinandergesetzt (vgl. S. 3-4 der angefochtenen Verfügung). Der Einwand des Beschwerdeführers, dass das SEM ihn zu weiteren Ausführungen zu den dem SEM kommentarlos zugestellten Dokumenten hätte auffordern müssen, geht fehl. Die gesuchstellende Person trägt in Bezug auf ihre Vorbringen die Substanziierungslast (Art. 7 AsylG). Sodann bestand für die Vorinstanz kein Anlass zur Annahme, die in der angefochtenen Verfügung erwähnten Diskrepanzen zwischen den Beweismitteln und den Angaben des Beschwerdeführers im Verfahren wären diesem nicht bekannt gewesen. Auch wenn die Formulierung des SEM, keines der drei per Post eingereichten Dokumente könne als Beweismittel betrachtet werden, missverständlich ist, ergibt sich aus den vorinstanzlichen Ausführungen klar, dass das SEM damit zum Ausdruck bringen wollte, die eingereichten Dokumente seien nicht dazu geeignet, den vom Beschwerdeführer dargelegten Sachverhalt zu belegen. Der Beschwerdeführer vermengt in der Folge mit seiner Kritik an der Einschätzung des SEM die Frage der Feststellung des rechtserheblichen Sachverhalts mit der Frage der rechtlichen Würdigung der Sache. Dass der Beschwerdeführer mit der Einschätzung des SEM, dass sich aus den besagten Beweismitteln keine Hinweise für eine Verfolgung des Beschwerdeführers ergeben würden, nicht einverstanden ist, vermag keine Verletzung der Untersuchungspflicht respektive eine unvollständige oder unrichtige Feststellung des Sachverhalts seitens des SEM zu begründen. Die Würdigung der Parteivorbringen und Beweismittel stellt eine Frage des materiellen Rechts dar. Ob der Einschätzung des SEM zu folgen ist, ist nunmehr Gegenstand des vorliegenden Beschwerdeverfahrens. Auch in Bezug auf den Wegweisungsvollzug hat das SEM hinreichend differenziert aufgezeigt, von welchen Überlegungen es sich bei seinem Entscheid hat leiten lassen, und dem Beschwerdeführer dadurch auch diesbezüglich die sachgerechte Anfechtung ermöglicht, wie die Beschwerde zeigt. Eine Gehörsverletzung liegt somit auch in dieser Hinsicht nicht vor. Ob die entsprechende Beurteilung des SEM der Überprüfung - unter Berücksichtigung der aktuellen politischen Lage in Sri Lanka - standhält, wird sich im Folgenden zeigen. Schliesslich macht der Beschwerdeführer in formeller Hinsicht geltend, das SEM habe Art. 12 VwVG verletzt, indem es unterlassen habe, die im Referenzurteil E-1866/2015 genannten Risikofaktoren sowie die öffentlich zugänglichen Quellen betreffend die Verfolgung von Familien (ehemaliger) LTTE-Mitglieder zu berücksichtigen. Zutreffend ist, dass die angefochtene Verfügung keine explizite Prüfung der Risikofaktoren enthält. Nachdem die Vorinstanz indessen - wie nachfolgend dargelegt wird - die Glaubhaftigkeit der vorgetragenen Vorfluchtgründe (zu Recht) verneint und im Rahmen der Wegweisungsvollzugshindernisse festgehalten hat, es sei davon auszugehen, dass dem Beschwerdeführer bei der Rückkehr keine unzulässigen Verfolgungsmassnahmen drohten, rechtfertigt sich die Annahme, dass damit auch das Vorliegen von Risikofaktoren geprüft und implizit verneint wurde.</w:t>
      </w:r>
    </w:p>
    <w:p>
      <w:r>
        <w:rPr>
          <w:b/>
        </w:rPr>
        <w:t>E. 4.4</w:t>
      </w:r>
    </w:p>
    <w:p>
      <w:r>
        <w:t>Aufgrund des Gesagten besteht keine Veranlassung, die angefochtene Verfügung aus formellen Gründen aufzuheben. Der entsprechende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zugunsten und zulasten der asylsuchenden Person zu berücksichtigen (vgl. BVGE 2010/57 E. 2.6, 2008/34 E. 7.1 und 2008/12 E. 5.2.).</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6.1</w:t>
      </w:r>
    </w:p>
    <w:p>
      <w:r>
        <w:t>Das Bundesverwaltungsgericht gelangt nach Prüfung der Akten in Übereinstimmung mit der Vorinstanz zum Schluss, dass der Beschwerdeführer die Flüchtlingseigenschaft gemäss Art. 3 AsylG nicht zu begründen vermag.</w:t>
      </w:r>
    </w:p>
    <w:p>
      <w:r>
        <w:rPr>
          <w:b/>
        </w:rPr>
        <w:t>E. 6.2</w:t>
      </w:r>
    </w:p>
    <w:p>
      <w:r>
        <w:t>Das SEM erachtete die fluchtauslösenden Vorbringen des Beschwerdeführers, wonach er am (...) 2015 vom CID gesucht worden sei, weil eine Person, die wie er beim Bau eines Bunkers der LTTE im Jahr 2006 mitgewirkt habe, vermutlich seinen Namen beim CID genannt habe, als den Anforderungen an die Glaubhaftigkeit gemäss Art. 7 AsylG nicht genügend. In der Tat vermögen die Ausführungen des Beschwerdeführers nicht in einem für die Glaubhaftigkeit genügenden Mass zu überzeugen. Die vom SEM geäusserten Zweifel an den Schilderungen des Beschwerdeführers sind berechtigt. Die Angaben des Beschwerdeführers vermitteln kein stimmiges Bild, sondern weisen erhebliche Unstimmigkeiten auf, und er vermag mit seinen Vorbringen und den eingereichten Beweismitteln nicht nachzuweisen oder zumindest glaubhaft zu machen, dass er von den heimatlichen Behörden wegen des Verdachts der Unterstützung der LTTE verfolgt würde. Der Beschwerdeführer hat keine rechtsgenüglichen Identitätsdokumente eingereicht. Mit den Ausführungen auf Beschwerdeebene zum angeblich üblichen Ablauf von durch Schlepper organisierten Ausreisen aus Sri Lanka vermag der Beschwerdeführer seine widersprüchlichen Angaben zum Verbleib und der fehlenden Beschaffung seiner Identitätskarte nicht zu erklären. Bei der BzP hatte er klar gesagt, dass seine Identitätskarte bei den Eltern sei und er diese kommen lassen könne, dies im Gegensatz zum Pass, der beim Schlepper sei, weshalb er diesen nicht beschaffen könne (vgl. A5 S. 6). Zudem setzt sich der Beschwerdeführer mit der Angabe in der Beschwerde, die Identitätskarte sei beim (Haupt-)Schlepper in Sri Lanka verblieben, in einen neuerlichen Widerspruch, hatte er bei der Anhörung doch gesagt, dass ihm die Identitätskarte auf dem Weg hierher - mithin nach der Ausreise aus Sri Lanka - abgenommen worden sei (vgl. A13 S. 2 F5). Seinen Angaben zufolge ist der Beschwerdeführer am (...) 2015 unter Vorweisung seines eigenen Reisepasses aus Sri Lanka ausgereist, ohne Probleme zu gewärtigen, was grundsätzlich nicht dafürspricht, dass er im damaligen Zeitpunkt behördlich gesucht worden wäre. Dass er wegen der Beteiligung am Bau eines Bunkers der LTTE im Jahr 2006 heute im Visier der sri-lankischen Behörden stehen würde, vermochte er auch nicht in glaubhafter Weise darzulegen. Die Schilderung der Umstände, wie es zu der besagten Tätigkeit für die LTTE gekommen sei, weist erhebliche Widersprüche auf (von den LTTE angedrohte Zwangsrekrutierung der Schwestern respektive angedrohte Einquartierung beim Beschwerdeführer zuhause). Angesichts dessen, dass es sich damals beim Beschwerdeführer um einen erst (...)jährigen Jungen ohne Eigenheim handelte, erscheint es nur schwer nachvollziehbar, dass die LTTE die Einquartierung als zweckdienliche Androhung ihm gegenüber erachtet hätten. Selbst wenn Soldaten im Jahr 2006 am Wohnort des Beschwerdeführers einen Bunker und Waffen der LTTE entdeckt haben sollten, lässt sich den Ausführungen des Beschwerdeführers nicht entnehmen, dass er im Verdacht gestanden hätte oder stehen würde, damit in Verbindung zu stehen. Er gab selbst zu Protokoll, er sei bei den damaligen Razzien nicht mitgenommen worden, weil er mit der Sache etwas zu tun gehabt habe, sondern weil sich der Bunker in der Nähe seines Wohnhauses befunden und er sich in der Umgebung aufgehalten habe (vgl. A13 S. 12 F84). Er sei - wie viele andere Dorfbewohner auch - lediglich gefragt worden, ob er Aktivitäten der LTTE beobachtet habe. Dies habe er verneint, worauf er wieder habe gehen können. Hätte gegen ihn ein Verdacht bestanden, wäre ihm wohl kaum im Jahr (...) von den sri-lankischen Behörden ein Reisepass ausgestellt worden. Laut seinen Angaben ist dem Beschwerdeführer in den neun Jahren nach dem Bunkerbau nichts passiert, auch nicht, nachdem 2012 gezielt nach Personen, die für die LTTE gearbeitet hätten, gefahndet worden sei und F._______ sich damals gestellt habe. Anders als E._______, der sich 2012 aus Angst vor einer Festnahme an die Menschenrechtskommission gewendet und sich in einem Rehabilitationszentrum gestellt habe, sah der Beschwerdeführer in der gezielten Fahndung nach LTTE-Helfern und der Festnahme von F._______ für sich offenbar keine Gefahr. Dies spricht ebenso gegen die Beteiligung an dem besagten Bunkerbau und eine diesbezügliche Verfolgung seiner Person wie seine Entlassung nach einer Verhaftung wegen eines fälschlicherweise erhobenen Verdachts der Beteiligung an einer Schlägerei im Jahr 2013. Auch die telefonische Aufforderung im Jahr 2013, mit Wahlpropaganda für den Schulleiter aufzuhören, habe seinen Angaben zufolge nichts mit einer Tätigkeit für die LTTE zu tun gehabt (vgl. A13 S. 15 F119). Insgesamt entsteht der Eindruck, dass der Beschwerdeführer nicht eigene Erfahrungen, sondern von einer anderen Person - wohl E._______ - Erlebtes schildert und belegt (vgl. Bestätigung der Rehabilitierung und Reintegration einer Person namens H._______ vom [...] 2014). Weder der Rehabilitierungsprozess von E._______ noch die Festnahme von F._______ im Jahr 2012 hatten offenbar Konsequenzen in Form von (Reflex-)Verfolgungsmassnahmen für den Beschwerdeführer, und E._______ habe nach der 2014 abgeschlossenen Rehabilitierung wieder ein normales Leben führen können. Dass dem Beschwerdeführer im (...) 2015 plötzlich eine flüchtlingsrechtlich relevante Verfolgung seitens der sri-lankischen Behörden wegen der Beteiligung an LTTE-Aktivitäten im Jugendalter gedroht hätte, vermag er nicht glaubhaft zu machen. Die Behauptung, F._______ habe ihn beim CID verraten, vermochte der Beschwerdeführer nicht schlüssig darzulegen, zumal er angegeben hatte, dass ihn niemand verraten habe (vgl. A13 S. 17 F142), und dass sich F._______ bereits im Jahr 2012 im Rehabilitationszentrum gestellt und er seither nichts mehr von diesem gehört habe (vgl. A13 S. 14 F105). Die Festnahme von F._______ im Jahr 2012 habe denn auch keine Konsequenzen für den Beschwerdeführer gehabt, wie die Freilassung nach der kurzzeitigen Festhaltung 2013 wegen des (falschen) Verdachts der Beteiligung an einer Schlägerei zeigt. Seine Angabe, am (...) 2015 von CID-Beamten aufgesucht worden zu sein, weil E._______ sich an diesem Tag nicht im Camp gemeldet habe und die Beamten sich erhofft hätten, von ihm (dem Beschwerdeführer) etwas zu erfahren (vgl. A13 S. 8 F44), deutet darauf hin, dass es wiederum nicht um den Beschwerdeführer, sondern E._______ ging. Weder aus dem Arztbericht vom (...) 2015 bezüglich einer (...) des Vaters noch aus der Bestätigung vom (...) 2012 betreffend der Registrierung einer Beschwerde einer Drittperson bei der Menschenrechtskommission Sri Lankas oder der Bestätigung vom (...) 2014 bezüglich der Rehabilitierung und Reintegration einer Person namens H._______, bei der es sich laut dem Beschwerdeführer um E._______ handle, ergeben sich Anhaltspunkte für Probleme des Beschwerdeführers mit den heimatlichen Behörden. Auch mit den auf Beschwerdeebene neu vorgelegten Beweismitteln (Zeugenvorladung vom [...] 2018, Haftbefehl vom [...] 2018 [Kopie]) vermag der Beschwerdeführer nicht glaubhaft zu machen, er würde bei einer Rückkehr nach Sri Lanka in flüchtlingsrechtlich relevantem Ausmass verfolgt. Für die Echtheit dieser Dokumente besteht keine Gewähr. Eine von der Vorinstanz veranlasste Botschaftsabklärung in Sri Lanka hat ergeben, dass es sich bei den besagten Dokumenten um Fälschungen handelt. Bei der Zeugenvorladung fallen denn auch auf den ersten Blick Unstimmigkeiten ins Auge; so stimmt beispielsweise das vermerkte Kürzel des für den Fall zuständigen Gerichts [(...)] nicht mit der verfügenden Behörde [(...)] und dem Anlass der Vorladung [(...), mithin (...)] überein. Der Haftbefehl vom (...) 2018, der vom (...) ausgestellt worden sei, weist die gleiche, nicht übereinstimmende Fallbezeichnung (...) auf. Auch ist nicht ersichtlich, wer wann und wie in den Besitz der Kopie des Haftbefehls vom (...) 2018 gelangt sein sollte. Der Beschwerdeführer bringt lediglich vor, ein Anwalt in Sri Lanka habe diesen beschafft, ohne dies indes näher auszuführen und einen entsprechenden Beleg hierfür einzureichen. Auch steht der im Haftbefehl vom (...) 2018 genannte Sachverhalt (...) im Widerspruch zu den Angaben des Beschwerdeführers bei der am 23. August 2018 - und damit mehrere Monate nach einem vermeintlichen Termin beim (...) - durchgeführten Anhörung, wonach für ihn (bisher) keine Vorladung ergangen sei (vgl. A13 S. 16 F127 ff.). Der auf Beschwerdeebene eingereichten Vorladung vom (...) 2018 lässt sich wiederum nicht entnehmen, dass der Beschwerdeführer im Verdacht stehen würde, für die LTTE aktiv gewesen zu sein. Die besagten Dokumente sind somit nicht geeignet, die Glaubhaftigkeit der Fluchtvorbringen zu bewirken respektive eine flüchtlingsrechtlich relevante Verfolgung des Beschwerdeführers seitens der heimatlichen Behörden zu belegen.</w:t>
      </w:r>
    </w:p>
    <w:p>
      <w:r>
        <w:rPr>
          <w:b/>
        </w:rPr>
        <w:t>E. 6.3</w:t>
      </w:r>
    </w:p>
    <w:p>
      <w:r>
        <w:t>Es bleibt zu prüfen, ob dem Beschwerdeführer trotz fehlender Vorverfolgung bei einer Rückkehr nach Sri Lanka wegen des Bestehens eines Risikoprofils aus anderen Gründen ernsthafte Nachteile im Sinne von Art. 3 AsylG drohen würden.</w:t>
      </w:r>
    </w:p>
    <w:p>
      <w:r>
        <w:rPr>
          <w:b/>
        </w:rPr>
        <w:t>E. 6.3.1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6.3.2</w:t>
      </w:r>
    </w:p>
    <w:p>
      <w:r>
        <w:t>Der Beschwerdeführer hat sich nach Kriegsende im Mai 2009 noch mehrere Jahre im Heimatland aufgehalten. Gemäss seinen Angaben ist er nicht Mitglied der LTTE gewesen und die vermeintlichen Probleme mit den heimatlichen Behörden vor der Ende 2015 erfolgten Ausreise wegen einer angeblichen Beteiligung am Bau eines Bunkers der LTTE im Jahr 2006 vermochte er nicht glaubhaft zu machen. Allein die verwandtschaftlichen Bande mit dem Ehemann einer Cousine, dem im Jahr 2014 die erfolgreiche Rehabilitierung und Reintegration bescheinigt worden sei, lässt nicht auf ein Profil schliessen, das den Beschwerdeführer angesichts der heutigen Situation in Sri Lanka als in asylrechtlich relevanter Weise gefährdete Person erscheinen lassen würde. Es liegen keine konkreten Hinweise für ein aktuell bestehendes Verfolgungsinteresse seitens der sri-lankischen Behörden vor, und auch aus der tamilischen Ethnie, der mittlerweile rund fünfjährigen Landesabwesenheit sowie der Asylgesuchstellung in der Schweiz kann keine flüchtlingsrechtlich relevante Gefährdung des Beschwerdeführers abgeleitet werden. Mangels persönlichen Bezugs ist auch aufgrund der vom Beschwerdeführer angeführten politischen Ereignisse in Sri Lanka im Herbst 2018 sowie der Präsidentschaftswahl im November 2019 und des Ausgangs der Parlamentswahlen im August 2020 keine begründete Furcht vor zukünftiger Verfolgung des Beschwerdeführers und eine etwaige Verschärfung der Gefährdungssituation zu bejahen. Eine persönlich konkretisierte Gefährdung vermag der Beschwerdeführer diesbezüglich mit den in den Rechtsmitteleingaben angeführten Berichten und den vorgelegten Medienberichten zur allgemeinen Lage in Sri Lanka nicht darzulegen. Es besteht kein konkreter Grund zur Annahme, die politischen Entwicklungen in Sri Lanka könnten sich zum heutigen Zeitpunkt auf den Beschwerdeführer auswirken. Schliesslich lässt sich auch aus dem allfälligen Einsatz temporärer Reisepapiere keine relevante Gefährdung ableiten. Selbst wenn der Beschwerdeführer ohne Reisepass respektive mit temporären Reisedokumenten nach Sri Lanka zurückkehren müsste, würde dies zwar allenfalls bei der Wiedereinreise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vom 25. Juli 2016 E. 8.4.4). Insgesamt betrachtet ist somit nicht davon auszugehen, dass dem Beschwerdeführer im Fall einer Rückkehr nach Sri Lanka ernsthafte Nachteile im Sinne von Art. 3 AsylG drohen würden.</w:t>
      </w:r>
    </w:p>
    <w:p>
      <w:r>
        <w:rPr>
          <w:b/>
        </w:rPr>
        <w:t>E. 6.4</w:t>
      </w:r>
    </w:p>
    <w:p>
      <w:r>
        <w:t>Zusammenfassend ist es dem Beschwerdeführer nicht gelungen, die Flüchtlingseigenschaft gemäss Art. 3 AsylG nachzuweisen oder zumindest glaubhaft zu machen. Das SEM hat das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Auch die allgemeine Menschenrechtssituation in Sri Lanka lässt den Wegweisungsvollzug nicht als unzulässig erscheinen (vgl. Referenzurteil des BVGer E-1866/2015 vom 15. Juli 2016 E. 12.2 sowie statt vieler Urteile des BVGer D-5671/2018 vom 4. Dezember 2020 E. 7.2.3, D-4591/2017 vom 5. November 2020 E. 7.2.3, D-2130/2017 vom 14. Oktober 2020 E. 9.2.3 und E-6769/2019 vom 1. Oktober 2020 E. 8.3). Es ergeben sich aus den Akten auch keine konkreten Hinweise darauf,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Daran vermögen der Regierungswechsel im November 2019 und die seither veränderte Lage in Sri Lanka nichts zu ändern.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D-5671/2018 vom 4. Dezember 2020 E. 7.3.1).</w:t>
      </w:r>
    </w:p>
    <w:p>
      <w:r>
        <w:rPr>
          <w:b/>
        </w:rPr>
        <w:t>E. 8.3.2</w:t>
      </w:r>
    </w:p>
    <w:p>
      <w:r>
        <w:t>Vorliegend sprechen auch keine individuellen Gründe gegen die Zumutbarkeit des Wegweisungsvollzugs. Der Beschwerdeführer stammt seinen Angaben zufolge aus der Nordprovinz Sri Lankas. Bis zu seiner Ausreise im (...) 2015 habe er mit seinen Eltern und Geschwistern in C._______ und zuletzt einige Monate bei Verwandten in B._______ gelebt. Er verfügt somit dort über verwandtschaftliche Kontakte. Es handelt sich bei ihm zudem um einen jungen, alleinstehenden Mann, der keine gesundheitlichen Beschwerden vorbrachte und eigenen Angaben zufolge eine (...)jährige Schulbildung sowie Arbeitserfahrung auf dem (...) und in der (...) vorweisen kann. Es kann somit von ihm auch erwartet werden, dass er sich in wirtschaftlicher Hinsicht wird eingliedern können. Es liegen damit keine Gründe für die Annahme vor, der Beschwerdeführer würde bei einer Rückkehr nach Sri Lanka in eine existenzielle Notlage geraten, die als konkrete Gefährdung zu werten wäre.</w:t>
      </w:r>
    </w:p>
    <w:p>
      <w:r>
        <w:rPr>
          <w:b/>
        </w:rPr>
        <w:t>E. 8.3.3</w:t>
      </w:r>
    </w:p>
    <w:p>
      <w:r>
        <w:t>Nach dem Gesagten erweist sich der Vollzug der Wegweisung auch als zumutbar.</w:t>
      </w:r>
    </w:p>
    <w:p>
      <w:r>
        <w:rPr>
          <w:b/>
        </w:rPr>
        <w:t>E. 8.4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bedürftig wäre.</w:t>
      </w:r>
    </w:p>
    <w:p>
      <w:r>
        <w:rPr>
          <w:b/>
        </w:rPr>
        <w:t>E. 10.2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in der Ernennungsverfügung vom 16. Januar 2019 über die in der Regel angewendeten Stundenansätze informiert. Der Rechtsvertreter reichte mit der Replik vom 15. Mai 2019 seine Kostennote ein. Er bezifferte den zeitlichen Aufwand mit 10.92 Stunden und beantragte einen Stundenansatz von Fr. 220.-. Zudem machte er Auslagen von Fr. 95.20 geltend und wies auf die bestehende Mehrwertsteuerpflicht hin. Der zeitliche Aufwand scheint angemessen und der Stundenansatz von Fr. 220.- liegt im Kostenrahmen. Das amtliche Honorar ist somit vorliegend auf insgesamt (gerundet) Fr. 2690.- (einschliesslich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