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D-318/2020 vom 3. März 2021</w:t>
      </w:r>
    </w:p>
    <w:p>
      <w:r>
        <w:t>Bundesverwaltungsgericht, 2021-03-03, DE</w:t>
      </w:r>
    </w:p>
    <w:p>
      <w:r>
        <w:rPr>
          <w:b/>
        </w:rPr>
        <w:t xml:space="preserve">Quelle: </w:t>
      </w:r>
      <w:r>
        <w:t>https://mcp.opencaselaw.ch/entscheid/bvger_D-318_2020</w:t>
      </w:r>
    </w:p>
    <w:p>
      <w:r>
        <w:t>FR: TAF D-318/2020 du 3 mars 2021</w:t>
      </w:r>
    </w:p>
    <w:p>
      <w:r>
        <w:t>IT: TAF D-318/2020 del 3 marzo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5.Entgegen der in der Beschwerde (vgl. daselbst, S. 4 ff.) sinngemäss erhobenen Rüge hat sich das SEM im vorliegenden Fall keine unrichtige Anwendung der Beweisregel von Art. 7 AsylG vorzuwerfen. Wie in der angefochtenen Verfügung mit umfassender Begründung zutreffend erläutert wird, halten die Vorbringen der Beschwerdeführerin in den wesentlichen Punkten den Anforderungen an das reduzierte Beweismass des Glaubhaftmachens nicht stand respektive erweisen sich als nicht asylrelevant. Soweit die Beschwerdeführerin vorbringt, sie fürchte sich davor, für die mutmasslichen Verfehlungen ihres Vorgesetzten strafrechtlich zur Verantwortung gezogen zu werden, ist Folgendes zu bemerken: Falls sich die Verfehlungen ihrs Vorgesetzten am (...) (Unregelmässigkeiten bei der Aktenführung) in der von der Beschwerdeführerin geschilderten Weise zugetragen haben sollten, ist nicht auszuschliessen, dass die Behörden im damaligen Zeitpunkt daran interessiert waren, sie als Zeugin zu vernehmen. Aus der alleinigen Tatsache, dass die Beschwerdeführerin als Zeugin einvernommen wurde, kann indessen nicht auf eine asylrelevante Verfolgung respektive objektiv begründete Verfolgungsfurcht geschlossen werden. Dass man die mutmasslichen Verfehlungen ihres Vorgesetzten ihr habe anlasten wollen, sind reine Spekulationen von ihrer Seite. Sodann stellt auch die geltend gemachte Reflexverfolgung im Zusammenhang mit ihren Familienangehörigen (Ex-Mann, Bruder), die Verbindungen zu (...) gehabt haben sollen, eine blosse Mutmassung respektive Behauptung dar, der es - entgegen der Beschwerde (vgl. daselbst, S. 5 ff.) - an Substanz und objektiven Anhaltspunkten fehlt. So steht bereits die Tatsache, dass die Beschwerdeführerin 2012 eine Stelle im (...) ([...]) antrat und bis zu ihrer Ausreise dort gearbeitet hat, der Annahme eines behördlichen Verfolgungsinteresses entgegen, was auch die Vorinstanz zutreffend erkannt hat. Zwar trifft es in Übereinstimmung mit der Beschwerde zu, dass der Ex-Mann der Beschwerdeführerin (Heirat [...]) (...) in der Schweiz als Flüchtling (N [...]) anerkannt wurde. Indessen machten sowohl die Beschwerdeführerin als auch ihr Ex-Mann übereinstimmend geltend, dass sie seit der Scheidung (...) keinen Kontakt mehr zueinander gehabt hätten. Zudem liegen die angeblich mit der (...) ihres Ex-Mannes und ihres Bruders in Zusammenhang stehenden Autounfälle in den Jahren 2006 und 2010, bei der man die Beschwerdeführerin habe töten wollen, über zehn Jahre zurück. Es ist deshalb nicht von einem aktuellen Verfolgungsinteresse (Reflexverfolgung) an der Beschwerdeführerin auszugehen. Es erübrigt sich, auf weitere Beschwerdevorbringen näher einzugehen, weil sie am Ergebnis nichts ändern können. Das SEM hat das Asylgesuch zu Recht abgelehnt.</w:t>
      </w:r>
    </w:p>
    <w:p>
      <w:r>
        <w:rPr>
          <w:b/>
        </w:rPr>
        <w:t>E. 6</w:t>
      </w:r>
    </w:p>
    <w:p>
      <w:r>
        <w:t>Lehnt das Staatssekretariat das Asylgesuch ab oder tritt es darauf nicht ein, so verfügt es in der Regel die Wegweisung und ordnet den Vollzug an (Art. 44 AsylG). Die Beschwerdeführerin verfügt weder über eine ausländerrechtliche Aufenthaltsbewilligung in der Schweiz noch über einen Anspruch auf Erteilung einer solchen. Ihre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vorliegend keine Anwendung finden.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Solches ist vorliegend nicht der Fall. Es besteht kein konkreter Anlass zur Annahme, der Beschwerdeführerin, der es nicht gelungen ist, eine asylrechtlich beachtliche Verfolgung darzulegen, würde bei einer Rückkehr in ihr Heimatland eine menschenrechtswidrige Behandlung drohen. Auch die dortige allgemeine Menschenrechtssituation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Nach der Rechtsprechung des Bundesverwaltungsgerichts herrscht in Tschetschenien keine Situation allgemeiner Gewalt mehr und der Wegweisungsvollzug dorthin wird in der Regel als zumutbar erachtet (vgl. BVGE 2009/52). Diese Einschätzung hat - entgegen der anderslautenden Beschwerdevorbringen - nach wie vor Gültigkeit (vgl. bspw. Urteile des BVGer E-4114/2015 vom 22. Mai 2018 E. 7.3, D-1458/2020 vom 3. Juli 2020 E. 7.2).</w:t>
      </w:r>
    </w:p>
    <w:p>
      <w:r>
        <w:rPr>
          <w:b/>
        </w:rPr>
        <w:t>E. 7.3.2</w:t>
      </w:r>
    </w:p>
    <w:p>
      <w:r>
        <w:t>Auch sprechen keine individuellen Gründe gegen den Wegweisungsvollzug. So verfügt die Beschwerdeführerin über langjährige Berufserfahrungen unter anderem in der (...) ([...]), womit sie in der Lage sein wird, sich wirtschaftlich wieder zu integrieren. Im Weiteren ist offensichtlich davon auszugehen, dass die Beschwerdeführerin nach ihrer Rückkehr in ihr Heimatland wieder auf die Unterstützung ihrer dort lebenden Angehörigen wird zählen können und eine Unterkunftsmöglichkeit vorfinden wird. Ferner kann die Beschwerdeführerin auch weiterhin mit der finanziellen Unterstützung ihrer in der Schweiz lebenden Kinder rechnen. Schliesslich ist in Bestätigung der vorinstanzlichen Erwägungen auch von der Behandelbarkeit ihrer geltend gemachten medizinischen Leiden (Schmerzen nach zwei Autounfällen, schlechter psychischer Allgemeinzustand) im Heimatstaat auszugehen, zumal sich die Beschwerdeführerin vor ihrer Ausreise bereits in dortiger medizinischer Behandlung befand. Es muss somit insgesamt nicht befürchtet werden, dass die Beschwerdeführerin nach einer Rückkehr in ihr Heimatland in eine existenzbedrohende Situation gerät. Der Wegweisungsvollzug erweist sich als zumutbar.</w:t>
      </w:r>
    </w:p>
    <w:p>
      <w:r>
        <w:rPr>
          <w:b/>
        </w:rPr>
        <w:t>E. 7.4</w:t>
      </w:r>
    </w:p>
    <w:p>
      <w:r>
        <w:t>Schliesslich obliegt es der Beschwerdeführerin, die über einen gültigen russischen Reisepass verfügt, sich bei der zuständigen Vertretung des Heimatstaats allenfalls weitere, für eine Rückkehr notwendige Reisedokumente zu beschaffen (Art. 8 Abs. 4 AsylG; vgl. dazu auch BVGE 2008/34 E. 12). Der Vollzug der Wegweisung ist deshalb auch als möglich zu bezeichnen (Art. 83 Abs. 2 AuG).</w:t>
      </w:r>
    </w:p>
    <w:p>
      <w:r>
        <w:rPr>
          <w:b/>
        </w:rPr>
        <w:t>E. 7.5</w:t>
      </w:r>
    </w:p>
    <w:p>
      <w:r>
        <w:t>Der durch die Vorinstanz verfügte Wegweisungsvollzug ist damit zu bestätigen. Die Anordnung der vorläufigen Aufnahme fällt ausser Betracht (Art. 83 Abs. 1-4 AuG). 8.Aus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 9.9.1 Auf den Prozessantrag auf Gewährung der aufschiebenden Wirkung ist bereits mangels Rechtsschutzinteresses nicht einzutreten, da einer Beschwerde von Gesetzes wegen aufschiebende Wirkung zukommt und diese vorliegend nicht entzogen wurde. 9.2 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der Beschwerdeführerin aufzuerlegen (Art. 63 Abs. 1 VwVG). Mit dem vorliegenden Urteil ist der Antrag auf Verzicht auf einen Kostenvorschuss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