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D-318/2013 vom 18. März 2013</w:t>
      </w:r>
    </w:p>
    <w:p>
      <w:r>
        <w:t>Bundesverwaltungsgericht, 2013-03-18, DE</w:t>
      </w:r>
    </w:p>
    <w:p>
      <w:r>
        <w:rPr>
          <w:b/>
        </w:rPr>
        <w:t xml:space="preserve">Quelle: </w:t>
      </w:r>
      <w:r>
        <w:t>https://mcp.opencaselaw.ch/entscheid/bvger_D-318_2013</w:t>
      </w:r>
    </w:p>
    <w:p>
      <w:r>
        <w:t>FR: TAF D-318/2013 du 18 mars 2013</w:t>
      </w:r>
    </w:p>
    <w:p>
      <w:r>
        <w:t>IT: TAF D-318/2013 del 18 marzo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Über Beschwerden gegen Verfügungen, die gestützt auf das Asylgesetz vom 26. Juni 1998 (AsylG, SR 142.31) durch das BFM erlassen worden sind, entscheidet das Bundesverwaltungsgericht grundsätzlich (mit Ausnahme von Verfahren betreffend Personen, gegen die ein Auslieferungsersuchen des Staates vorliegt, vor welchem sie Schutz suchen) endgültig (Art. 105 AsylG i.V.m. Art. 31-33 VGG; Art. 83 Bst. d Ziff. 1 des Bundesgerichtsgesetzes vom 17. Juni 2005 [BGG, SR 173.110]).</w:t>
      </w:r>
    </w:p>
    <w:p>
      <w:r>
        <w:rPr>
          <w:b/>
        </w:rPr>
        <w:t>E. 1.2</w:t>
      </w:r>
    </w:p>
    <w:p>
      <w:r>
        <w:t>Mit Beschwerde an das Bundesverwaltungsgericht kann die Verlet-zung von Bundesrecht, einschliesslich Missbrauch und Überschreitung des Ermessens, die unrichtige oder unvollständige Feststellung des rechtserheblichen Sachverhalts und die Unangemessenheit gerügt werden (Art. 106 Abs. 1 AsylG).</w:t>
      </w:r>
    </w:p>
    <w:p>
      <w:r>
        <w:rPr>
          <w:b/>
        </w:rPr>
        <w:t>E. 2</w:t>
      </w:r>
    </w:p>
    <w:p>
      <w:r>
        <w:t>Der Beschwerdeführer ist legitimiert; auf seine frist- und formgerecht eingereichte Beschwerde ist einzutreten (Art. 105 und 108 Abs. 1 AsylG; Art. 37 VGG i.V.m. Art. 48 Abs. 1 und Art. 52 VwVG).</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wird auf die Durchführung des Schriftenwechsels verzichtet.</w:t>
      </w:r>
    </w:p>
    <w:p>
      <w:r>
        <w:rPr>
          <w:b/>
        </w:rPr>
        <w:t>E. 4.1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(so die ständige Praxis der ehemaligen Schweizerischen Asylrekurskommission [ARK], welche für die Rechtsprechung des Bun-desverwaltungsgerichts einen nach wie vor gültigen Massstab bildet; vgl. etwa Entscheidungen und Mitteilungen der Schweizerischen Asylrekurs-kommission [EMARK] 1996 Nr. 27 E. 3c/aa).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(EMARK 1996 Nr. 28 E. 3a).</w:t>
      </w:r>
    </w:p>
    <w:p>
      <w:r>
        <w:rPr>
          <w:b/>
        </w:rPr>
        <w:t>E. 4.4</w:t>
      </w:r>
    </w:p>
    <w:p>
      <w:r>
        <w:t>Im vorliegenden Fall ist festzustellen, dass die soeben aufgeführten Kriterien der Glaubhaftmachung angesichts der Aussagen des Be-schwerdeführers anlässlich der durchgeführten Anhörungen offensichtlich nicht erfüllt sind.</w:t>
      </w:r>
    </w:p>
    <w:p>
      <w:r>
        <w:rPr>
          <w:b/>
        </w:rPr>
        <w:t>E. 4.4.1</w:t>
      </w:r>
    </w:p>
    <w:p>
      <w:r>
        <w:t>Im Rahmen seiner Befragungen machte der Beschwerdeführer im Wesentlichen Folgendes geltend: Er vertrete revolutionäres Gedankengut, sei Kurde und Alevit und deswegen seit seiner Jugend ständig verfolgt worden. So habe man ihn von der Schule ausgeschlossen, er sei inhaftiert und gefoltert worden. Insgesamt sei er drei- oder viermal (Angabe bei der Erstbefragung) beziehungsweise sechs- oder siebenmal (Angabe anlässlich der eingehenden Anhörung) im Gefängnis gewesen, einmal - von 1997 bis 1999 - während zweier Jahre, die übrigen Male - zuletzt im Jahr 2011 - jeweils während einem bis eineinhalb Monaten. Man habe ihm vorgeworfen, sich für die kurdische Sache eingesetzt und Leute beherbergt zu haben. Er habe politische Verbrechen begangen, und die Sicherheitskräfte hätten bei ihm verbotene Bücher und Zeitschriften gefunden. Vor sieben oder acht Jahren sei die Polizei beziehungsweise die JITEM (militärische Spezialeinheit) zu ihm nach Hause gekommen und habe seine Ehefrau in schwerster Weise verprügelt (Angabe im Rahmen der Erstbefragung), beziehungsweise man habe ihr einen Tritt versetzt (Angabe anlässlich der eingehenden Anhörung). Dabei sei sie an der Leber verletzt worden. Er habe vergeblich versucht, deswegen bei der Polizei eine Strafanzeige zu erstatten. Am 10. Oktober 2011 habe er seiner Ehefrau eine Leber gespendet; sie sei jedoch nach der Operation verstorben. In der Folge sei er mit einer in Deutschland wohnhaften Cousine zusammengekommen, die nun von ihm ein Kind erwarte. Er habe sich mit ihr verlobt und deshalb zum Zeitpunkt seiner Ausreise aus der Türkei eigentlich beabsichtigt, nach Deutschland zu gehen. Allerdings hätten sie sich in der Folge zerstritten, und die deutschen Behörden hätten ihn ausweisen wollen, weshalb er in die Schweiz gekommen sei. Hier lebe im Übrigen auch der Vater seiner Verlobten.</w:t>
      </w:r>
    </w:p>
    <w:p>
      <w:r>
        <w:rPr>
          <w:b/>
        </w:rPr>
        <w:t>E. 4.4.2</w:t>
      </w:r>
    </w:p>
    <w:p>
      <w:r>
        <w:t>In Bezug auf diese Ausführungen ist zunächst festzustellen, dass der Beschwerdeführer anlässlich der eingehenden Anhörung vom 21. No­vember 2012 wiederholt aufgefordert wurde, konkrete Angaben in Bezug auf sein angebliches politisches Engagement in der Türkei zu machen. Indessen konnte der Beschwerdeführer, der seit seiner Jugend "revolutionär eingestellt" sein will beziehungsweise sich zugunsten der kurdischen Sache eingesetzt haben soll, auch auf mehrfache Nachfrage hin keinerlei Auskunft dazu geben, welcher Art seine politischen Aktivitäten tatsächlich waren. Vielmehr beschränkten sich seine entsprechenden Aussagen auf Gemeinplätze wie, in der Türkei gelte als Staatsfeind, wer für die kurdische Arbeiterpartei PKK sei, und die Polizei habe gewisse Leute ständig in Verdacht. Auch seine Behauptung, er sei in der Türkei wegen seiner politischen Überzeugungen mehrfach - zwischen 1997 und 1999 sogar während eineinhalb bis zwei Jahren - inhaftiert gewesen, vermochte er in keiner Weise durch konkrete Angaben glaubhaft zu machen. Vielmehr gab er an, weder über irgendwelche diesbezügliche Dokumente zu verfügen noch sich an die genauen Daten erinnern zu können. Auch weisen die entsprechenden Aussagen des Beschwerdeführers verschiedene erhebliche Widersprüche auf. So machte der Beschwerdeführer deutlich abweichende Angaben zur Häufigkeit und Dauer seiner angeblichen Inhaftierungen, und es kann diesbezüglich auf die im Wesentlichen zutreffenden Erwägungen des BFM in der angefochtenen Verfügung verwiesen werden. Zwar ist nicht auszuschliessen, dass die Ehefrau des Beschwerdeführers in der Türkei im Jahr 2011 im Zusammenhang mit einer Lebertransplantation verstarb. Jedoch sind den Vorbringen des Beschwerdeführers keine konkreten Anhaltspunkte dafür zu entnehmen, ihre gesundheitlichen Probleme seien tatsächlich, wie behauptet, auf Misshandlungen durch die türkischen Sicherheitskräfte zurückzuführen. Der Umstand an sich, dass die Ehefrau möglicherweise nach einer Lebertransplantation ihr Leben verlor, ist offensichtlich nicht asylrechtlich relevant. Ferner ist festzustellen, dass auch die Vorbringen in der Beschwerdeschrift - die sich im Wesentlichen auf die Behauptung beschränken, aufgrund eines Gedächtnisverlusts des Beschwerdeführers seien dessen Asylgründe entgegen den Ausführungen in der angefochtenen Verfügung durchaus glaubhaft - nicht geeignet sind, die Einschätzung des BFM in Bezug auf die Glaubhaftigkeit der Fluchtgründe in Frage zu stellen.</w:t>
      </w:r>
    </w:p>
    <w:p>
      <w:r>
        <w:rPr>
          <w:b/>
        </w:rPr>
        <w:t>E. 4.4.3</w:t>
      </w:r>
    </w:p>
    <w:p>
      <w:r>
        <w:t>Nachdem der Beschwerdeführer anlässlich der Anhörungen ausführlich auf die Probleme hinwies, die er mit seiner heutigen Verlobten und möglicherweise deren Familie habe, ist schliesslich ergänzend anzumerken, dass diese Vorbringen asylrechtlich nicht von Belang sind.</w:t>
      </w:r>
    </w:p>
    <w:p>
      <w:r>
        <w:rPr>
          <w:b/>
        </w:rPr>
        <w:t>E. 4.5</w:t>
      </w:r>
    </w:p>
    <w:p>
      <w:r>
        <w:t>Aus dem Gesagten ergibt sich, dass das BFM zutreffenderweise zur Einschätzung gelangt ist, die Vorbringen des Beschwerdeführers seien nicht glaubhaft. Das Bundesamt hat folglich das Asylgesuch des Beschwerdeführers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vgl. auch BVGE 2009/50 E. 9 S. 733 m.w.N. sowie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6.2.2</w:t>
      </w:r>
    </w:p>
    <w:p>
      <w:r>
        <w:t>Der Vollzug der Wegweisung durch Rückschaffung in die Türkei ist unter dem Aspekt von Art. 5 AsylG rechtmässig, weil der Beschwer­deführer - wie zuvor dargelegt - dort keinen Nachteilen im Sinne von Art. 3 AsylG ausgesetzt wäre. Aus den Vorbringen des Beschwerde­führers ergeben sich ausserdem auch keine konkre­ten und gewichti­gen Anhaltspunkte für die Annahme, dass er im Falle einer Ausschaf­fung in die Türkei mit beachtlicher Wahrscheinlichkeit einer nach Art. 3 EMRK verbotenen Strafe oder Behandlung ausge­setzt wäre (vgl. EMARK 2001 Nr. 16 S. 122, 2001 Nr. 17 S. 130 f.; aus der Praxis des Europäischen Gerichtshofs für Menschenrechte etwa die Urteile i.S. Bensaid, Rep. 2001-I, S. 303, sowie i.S. Saadi vom 28. Februar 2008 [Grosse Kammer], Beschwerde Nr. 37201/06, Para. 124 ff., jeweils mit weiteren Hinweisen). Auch die allgemeine Menschenrechtssituation in der Türkei bietet zum heutigen Zeitpunkt keinen konkreten Anlass zur Annahme, dem Beschwerdeführer drohe eine entsprechende Gefährdung. Der Vollzug der Wegweisung ist somit sowohl im Sinne der asylgesetzlichen als auch der völkerrechtlichen Bestimmungen zulässig.</w:t>
      </w:r>
    </w:p>
    <w:p>
      <w:r>
        <w:rPr>
          <w:b/>
        </w:rPr>
        <w:t>E. 6.3.1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6.3.2</w:t>
      </w:r>
    </w:p>
    <w:p>
      <w:r>
        <w:t>Die allgemeine Lage in der Türkei ist weder von Bürgerkrieg noch von allgemeiner Gewalt gekennzeichnet, so dass der Vollzug der Wegweisung dorthin grundsätzlich zumutbar erscheint. Es bestehen ferner auch sonst keine Anhaltspunkte, die darauf schliessen liessen, der Beschwerdeführer sei bei einer Rückkehr in die Türkei einer konkreten Gefährdung im Sinne von Art. 83 Abs. 4 AuG ausgesetzt. Zwar machte er gegenüber der Vorinstanz geltend, er habe seiner verstorbenen Ehefrau im Jahr 2011 eine Leber gespendet. Indessen machte er in diesem Zusammenhang keine eigenen gesundheitlichen Probleme geltend, und es ist grundsätzlich auch nicht davon auszugehen, dass er deswegen von negativen Folgen betroffen ist, die unter dem Gesichtspunkt der Zumutbarkeit des Wegweisungsvollzugs entscheidwesentlich sein könnten. Des Weiteren besteht auch kein Grund zur Annahme, dass der Beschwerdeführer, der in der Vergangenheit im Baugewerbe tätig war und in der Stadt C._______ bei seiner ebenfalls erwerbstätigen Mutter wohnte, aus Gründen der wirtschaftlichen Existenz gefährdet sein wird. Der Vollzug der Wegweisung ist somit auch als zumutbar zu bezeichnen.</w:t>
      </w:r>
    </w:p>
    <w:p>
      <w:r>
        <w:rPr>
          <w:b/>
        </w:rPr>
        <w:t>E. 6.4</w:t>
      </w:r>
    </w:p>
    <w:p>
      <w:r>
        <w:t>Schliesslich ist festzustellen, dass der Vollzug der Wegweisung mangels aktenkundiger objektiver Hindernisse auch möglich im Sinne von Art. 83 Abs. 2 AuG ist.</w:t>
      </w:r>
    </w:p>
    <w:p>
      <w:r>
        <w:rPr>
          <w:b/>
        </w:rPr>
        <w:t>E. 6.5</w:t>
      </w:r>
    </w:p>
    <w:p>
      <w:r>
        <w:t>Die durch die Vorinstanz verfügte Wegweisung und deren Vollzug stehen somit in Übereinstimmung mit den zu beachtenden Bestimmun­gen und sind zu bestätigen. Nach dem Gesagten fällt eine Anordnung der vorläufigen Aufnahme ausser Betracht (Art. 83 Abs. 1-4 AuG).</w:t>
      </w:r>
    </w:p>
    <w:p>
      <w:r>
        <w:rPr>
          <w:b/>
        </w:rPr>
        <w:t>E. 7</w:t>
      </w:r>
    </w:p>
    <w:p>
      <w:r>
        <w:t>Aus den angestellten Erwägungen ergibt sich, dass die angefochtene Verfügung Bundesrecht nicht verletzt, den rechtserheblichen Sachverhalt richtig und vollständig feststellt und angemessen ist (Art. 106 AsylG). Die Beschwerde ist folglich abzuweisen.</w:t>
      </w:r>
    </w:p>
    <w:p>
      <w:r>
        <w:rPr>
          <w:b/>
        </w:rPr>
        <w:t>E. 8</w:t>
      </w:r>
    </w:p>
    <w:p>
      <w:r>
        <w:t>Bei diesem Ausgang des Verfahrens sind dessen Kosten dem Beschwerdeführer aufzuerlegen (Art. 63 Abs. 1 und 5 VwVG). Die Kosten sind auf Fr. 600.- festzusetzen (Art. 1-3 des Reglements vom 21. Februar 2008 über die Kosten und Entschädigungen vor dem Bundesverwaltungsgericht [VGKE, SR 173.320.2] i.V.m. Art. 16 Abs. 1 Bst. a VGG). Des Weiteren sind die Verfahrenskosten mit dem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