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D-3189/2023 vom 26. April 2023</w:t>
      </w:r>
    </w:p>
    <w:p>
      <w:r>
        <w:t>Bundesverwaltungsgericht, 2023-04-26, IT</w:t>
      </w:r>
    </w:p>
    <w:p>
      <w:r>
        <w:rPr>
          <w:b/>
        </w:rPr>
        <w:t xml:space="preserve">Quelle: </w:t>
      </w:r>
      <w:r>
        <w:t>https://mcp.opencaselaw.ch/entscheid/bvger_D-3189_2023_d20230426</w:t>
      </w:r>
    </w:p>
    <w:p>
      <w:r>
        <w:t>FR: TAF D-3189/2023 du 26 avril 2023</w:t>
      </w:r>
    </w:p>
    <w:p>
      <w:r>
        <w:t>IT: TAF D-3189/2023 del 26 aprile 2023</w:t>
      </w:r>
    </w:p>
    <w:p>
      <w:pPr>
        <w:pStyle w:val="Heading2"/>
      </w:pPr>
      <w:r>
        <w:t>Regeste</w:t>
      </w:r>
    </w:p>
    <w:p>
      <w:r>
        <w:t>Asilo e allontanamento (riesame) | Asilo e allontanamento (riesame); decisione della SEM del 26 aprile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Per quanto ammissibile, il ricorso è respinto.</w:t>
      </w:r>
    </w:p>
    <w:p>
      <w:r>
        <w:rPr>
          <w:b/>
        </w:rPr>
        <w:t>E. 2</w:t>
      </w:r>
    </w:p>
    <w:p>
      <w:r>
        <w:t>La domanda di assistenza giudiziaria e di gratuito patrocinio, con la nomina dell'avv. Immacolata Iglio Rezzonico in qualità di patrocinatrice d'ufficio, è accolta.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La cassa del Tribunale verserà alla patrocinatrice d'ufficio del ricorrente un'indennità di CHF 800.- a titolo di spese di patrocinio.</w:t>
      </w:r>
    </w:p>
    <w:p>
      <w:r>
        <w:rPr>
          <w:b/>
        </w:rPr>
        <w:t>E. 5</w:t>
      </w:r>
    </w:p>
    <w:p>
      <w:r>
        <w:t>Questa sentenza è comunicata al ricorrente, alla SEM e all'autorità cantonale competente. Il giudice unico: La cancelliera: Manuel Borla Ambra Antognoli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