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D-3187/2020 vom 23. Juli 2020</w:t>
      </w:r>
    </w:p>
    <w:p>
      <w:r>
        <w:t>Bundesverwaltungsgericht, 2020-07-23, DE</w:t>
      </w:r>
    </w:p>
    <w:p>
      <w:r>
        <w:rPr>
          <w:b/>
        </w:rPr>
        <w:t xml:space="preserve">Quelle: </w:t>
      </w:r>
      <w:r>
        <w:t>https://mcp.opencaselaw.ch/entscheid/bvger_D-3187_2020</w:t>
      </w:r>
    </w:p>
    <w:p>
      <w:r>
        <w:t>FR: TAF D-3187/2020 du 23 juillet 2020</w:t>
      </w:r>
    </w:p>
    <w:p>
      <w:r>
        <w:t>IT: TAF D-3187/2020 del 23 luglio 2020</w:t>
      </w:r>
    </w:p>
    <w:p>
      <w:pPr>
        <w:pStyle w:val="Heading2"/>
      </w:pPr>
      <w:r>
        <w:t>Regeste</w:t>
      </w:r>
    </w:p>
    <w:p>
      <w:r>
        <w:t>Rechtsverzögerung/Rechtsverweigerung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(vgl. Markus Müller, in: Auer/Müller/Schindler [Hrsg.], Kommentar zum Bundesgesetz über das Verwaltungsverfahren [VwVG], 2008, Rz. 3 zu Art. 46a). Das Bundesverwaltungsgericht ist zur Beurteilung der vorliegenden Rechtsverzögerungsbeschwerde somit zuständig.</w:t>
      </w:r>
    </w:p>
    <w:p>
      <w:r>
        <w:rPr>
          <w:b/>
        </w:rPr>
        <w:t>E. 1.3</w:t>
      </w:r>
    </w:p>
    <w:p>
      <w:r>
        <w:t>Rechtsverzögerungs- oder 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entsprechenden Person nach Art. 6 i.V.m. Art. 48 Abs. 1 VwVG Parteistellung zukommt (vgl. BVGE 2008/15 E. 3.2 m.w.H.). Der Beschwerdeführer, welcher am (...) in der Schweiz ein Asylgesuch gestellt hat und um Erlass eines entsprechenden Asylentscheids in Form einer anfechtbaren Verfügung ersuchte, ist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zumal auch hier der Grundsatz von Treu und Glauben eine Grenze bildet.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Der Beschwerdeführer hat sein schutzwürdiges Interesse an der Vornahme der verzögerten Amtshandlung bereits im Verfahren, welches zur Gutheissung seiner ersten Rechtsverzögerungsbeschwerde geführt hat, dargelegt. Nachdem der Beschwerdeführer auf seine letzte Eingabe vom 11. Mai 2020 weder eine Antwort erhielt noch die Vorinstanz weitere Instruktionsmassnahmen tätigte und auch kein Entscheid erging, durfte er Ende Juni 2020 - unter den spezifischen Umständen des vorliegenden Einzelfalles (Gutheissung einer ersten Rechtsverzögerungsbeschwerde mit Anweisung an die Vorinstanz zur prioritären Behandlung) - nach Treu und Glauben annehmen, dass die Vorinstanz vorderhand keine anfechtbare Verfügung erlässt. Auf die frist- und formgerecht eingereichte Beschwerde ist - unter Vorbehalt von E. 2. -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 Auf den Eventualantrag, dem Beschwerdeführer sei Asyl zu gewähren, ist demzufolge nicht einzutreten.</w:t>
      </w:r>
    </w:p>
    <w:p>
      <w:r>
        <w:rPr>
          <w:b/>
        </w:rPr>
        <w:t>E. 3.1</w:t>
      </w:r>
    </w:p>
    <w:p>
      <w:r>
        <w:t>Das Verbot der Rechtsverzögerung ergibt sich als Teilgehalt aus der allgemeinen Verfahrensgarantie von Art. 29 Abs. 1 BV. Danach hat jede Person Anspruch auf eine Beurteilung ihrer Sache innert angemessener Frist. Diese Verfahrensgarantie gilt für alle Sachbereiche und alle Akte der Rechtsanwendung (vgl. BGE 130 I 173 f., m.w.H.).</w:t>
      </w:r>
    </w:p>
    <w:p>
      <w:r>
        <w:rPr>
          <w:b/>
        </w:rPr>
        <w:t>E. 3.2</w:t>
      </w:r>
    </w:p>
    <w:p>
      <w:r>
        <w:t>Von einer Rechtsverzögerungsbeschwerde im Sinne des Gesetzes ist nach Lehre und Praxis auszugehen, wenn behördliches Handeln zwar nicht (wie bei einer Rechtsverweigerung) grundsätzlich infrage steht, aber die Behörde nicht innert Frist handelt, die nach der Natur der Sache objektiv noch als angemessen erscheint. Die Angemessenheit der Dauer eines Verfahrens ist im Einzelfall unter Berücksichtigung der gesamten Umstände zu beurteilen.</w:t>
      </w:r>
    </w:p>
    <w:p>
      <w:r>
        <w:rPr>
          <w:b/>
        </w:rPr>
        <w:t>E. 4.1</w:t>
      </w:r>
    </w:p>
    <w:p>
      <w:r>
        <w:t>Der Beschwerdeführer bringt vor, er warte seit bald (...) Jahren auf einen Asylentscheid, obwohl das Bundesverwaltungsgericht mit Urteil vom 6. August 2019 eine erste Rechtsverzögerungsbeschwerde gutgeheissen, er mehrfach interveniert und das SEM ihm im November 2019 einen Entscheid «in einigen Wochen» in Aussicht gestellt habe. Angesichts dessen, dass keine komplexen Sach- und Rechtsfragen abzuklären seien und sich das Verfahren als spruchreif erweise, sei von einer Rechtsverzögerung auszugehen.</w:t>
      </w:r>
    </w:p>
    <w:p>
      <w:r>
        <w:rPr>
          <w:b/>
        </w:rPr>
        <w:t>E. 4.2</w:t>
      </w:r>
    </w:p>
    <w:p>
      <w:r>
        <w:t>Die Vorinstanz führte in der Vernehmlassung aus, die Beschwerdeschrift enthalte keine neuen Tatsachen oder Beweismittel, welche eine Änderung ihres Standpunktes rechtfertigen könnten.</w:t>
      </w:r>
    </w:p>
    <w:p>
      <w:r>
        <w:rPr>
          <w:b/>
        </w:rPr>
        <w:t>E. 5.1</w:t>
      </w:r>
    </w:p>
    <w:p>
      <w:r>
        <w:t>Dass momentan nicht jedes einzelne Asylverfahren innerhalb der Behandlungsfristen von aArt. 37 Abs. 2 AsylG abgeschlossen werden kann, ist nachvollziehbar. Dies kommt auch aus der Formulierung «in der Regel» in aArt. 37 Abs. 2 AsylG zum Ausdruck. Das Bundesgericht hat in seiner Rechtsprechung zum Rechtsverzögerungsverbot festgehalten, dass eine mangelhafte Organisation oder eine strukturelle Überbelastung übermässig lange Verfahrensdauern nicht rechtfertigen könnten.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109 E. 5c; Urteil des Versicherungsgerichts H 2/06 vom 10. April 2006, E. 4.1; vgl. auch Auer/Malinverni/Hottelier, Droit constitutionnel suisse, Bd. II, 2. Aufl. 2006, Rz. 1277 f., Michel Hottelier, Les garanties de procédure, in: Thürer/Aubert/Müller, Verfassungsrecht der Schweiz, Droit constitutionnel suisse, 2001, Rz. 7). Diese Grundsätze ergeben sich aus dem Umstand, dass das Beschleunigungsgebot von Art. 29 BV ein prozessuales Grundrecht darstellt und damit ein individuelles (Prozess-)Recht des Beschwerdeführers darstellt. Sie gelten auch für nichtstreitige Verwaltungsverfahren. Die Vorinstanz hat sich deshalb zur Rechtfertigung der langen Verfahrensdauer grundsätzlich zu Recht nicht auf eine hohe Geschäftslast oder mangelnde Ressourcen berufen.</w:t>
      </w:r>
    </w:p>
    <w:p>
      <w:r>
        <w:rPr>
          <w:b/>
        </w:rPr>
        <w:t>E. 5.2</w:t>
      </w:r>
    </w:p>
    <w:p>
      <w:r>
        <w:t>Das Bundesverwaltungsgericht hat mit Urteil D-3018/2019 vom 6. August 2019 eine erste Rechtsverzögerungsbeschwerde des Beschwerdeführers gutgeheissen und die Vorinstanz angewiesen, dessen Asylverfahren prioritär zu behandeln und rasch einer Verfügung zuzuführen. In der Folge beantwortete das SEM am 7. November 2019 eine Verfahrensstandanfrage des Beschwerdeführers und stellte in Aussicht, dass er in einigen Wochen einen Entscheid erhalte. Das SEM ging demnach zu jenem Zeitpunkt offenbar von einem erstellten Sachverhalt aus. Seither sind - soweit ersichtlich - keine weiteren Verfahrenshandlungen der Vorinstanz ergangen und seit dem zwischenzeitlichen Wechsel der zuständigen Sachbearbeiterin sind bereits rund fünf Monate vergangen. Zwar ist in diesem Zusammenhang festzuhalten, dass sich mehrere türkische Gerichtsdokumente im vorinstanzlichen Dossier befinden. Diese wurden aber nicht ins Aktenverzeichnis aufgenommen und sie enthalten keinen Eingangsstempel. Nachdem das SEM diese Dokumente in der Vernehmlassung nicht erwähnt hat, ist nicht davon auszugehen, dass sich der Verfahrensstand seit dem genannten Antwortschreiben des SEM vom 7. November 2019 verändert hätte. Mithin ist von einem nach wie vor erstellten Sachverhalt auszugehen. Das Beschleunigungsgebot von Art. 29 Abs. 1 BV ist somit erneut verletzt.</w:t>
      </w:r>
    </w:p>
    <w:p>
      <w:r>
        <w:rPr>
          <w:b/>
        </w:rPr>
        <w:t>E. 6</w:t>
      </w:r>
    </w:p>
    <w:p>
      <w:r>
        <w:t>Die Rüge der Rechtsverzögerung erweist sich demnach als begründet. Die Beschwerde ist daher gutzuheissen, soweit auf diese einzutreten ist. Die Akten sind alsdann der Vorinstanz zuzustellen, verbunden mit der Anweisung, das am (...) eingeleitete Asylverfahren zügig mittels anfechtbarer Verfügung erstinstanzlich zu entscheiden.</w:t>
      </w:r>
    </w:p>
    <w:p>
      <w:r>
        <w:rPr>
          <w:b/>
        </w:rPr>
        <w:t>E. 7.1</w:t>
      </w:r>
    </w:p>
    <w:p>
      <w:r>
        <w:t>Bei diesem Ausgang des Verfahrens sind keine Kosten zu erheben (Art. 63 Abs. 1 und 2 VwVG).</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Die Rechtsvertreterin hat in ihrem Schreiben bezüglich Auskunftserteilung zu ihrer beruflichen Tätigkeit vom 11. Januar 2018 (Verfahren D-6881/2017) mitgeteilt, dass der Verein mor-beratung für die Vertretung von Asylsuchenden einen Stundenansatz von Fr. (...) veranschlage. Gestützt auf die in Betracht zu ziehenden Bemessungsfaktoren (Art. 9-13 VGKE) ist dem Beschwerdeführer zulasten der Vorinstanz eine Parteientschädigung von insgesamt Fr. 400.-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