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D-3186/2016 vom 19. Juni 2017</w:t>
      </w:r>
    </w:p>
    <w:p>
      <w:r>
        <w:t>Bundesverwaltungsgericht, 2017-06-19, DE</w:t>
      </w:r>
    </w:p>
    <w:p>
      <w:r>
        <w:rPr>
          <w:b/>
        </w:rPr>
        <w:t xml:space="preserve">Quelle: </w:t>
      </w:r>
      <w:r>
        <w:t>https://mcp.opencaselaw.ch/entscheid/bvger_D-3186_2016</w:t>
      </w:r>
    </w:p>
    <w:p>
      <w:r>
        <w:t>FR: TAF D-3186/2016 du 19 juin 2017</w:t>
      </w:r>
    </w:p>
    <w:p>
      <w:r>
        <w:t>IT: TAF D-3186/2016 del 19 giugno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2</w:t>
      </w:r>
    </w:p>
    <w:p>
      <w:r>
        <w:t>Über offensichtlich begründete Beschwerden wird in einzelrichterlicher Zuständigkeit mit Zustimmung eines zweiten Richters beziehungsweise einer zweiten Richterin entschieden (Art. 111 Bst. e AsylG). Wie nachfolgend aufgezeigt wird, handelt es sich vorliegend um eine solche, weshalb der Beschwerdeentscheid nur summarisch zu begründen ist (Art. 111a Abs.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4.1</w:t>
      </w:r>
    </w:p>
    <w:p>
      <w:r>
        <w:t>Das Bundesverwaltungsgericht hat im Urteil D-7853/2015 vom 31. Mai 2017 (zur Publikation als Referenzurteil vorgesehen) die Entwicklung der Situation für Asylsuchende in Ungarn eingehend analysiert; insbesondere für jene, die in Anwendung der Dublin-III-VO nach Ungarn überstellt werden. In diesem Urteil hat das Gericht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und festgestellt, dass die Umsetzung dieses Aktes, welcher rückwirkend auf sämtliche laufende Asylverfahren anwendbar ist und eine wesentliche Verschärfung der ungarischen Gesetzgebung mit sich bringe, zahlreiche Unsicherheiten und Fragen nach sich ziehe. Es könne daher namentlich nicht mit Sicherheit ermittelt werden, ob Asylsuchende, die nach Ungarn überstellt würden, als nicht aufenthaltsberechtigte Personen angesehen und deshalb in sogenannte "Prätransit"-Zonen abgeschoben würden, oder ob sie als asylsuchende Personen betrachtet würden, deren Gesuche in den Transitzonen zu behandeln seien. Angesichts der zahlreichen Unsicherheiten, die diese Gesetzesänderung hinsichtlich des Verfahrenszugangs und der Aufnahmebedingungen mit sich gebracht habe, sei es dem Bundesverwaltungsgericht gemäss dem derzeitigen Stand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SEM zurückgewiesen. Es obliege der erstinstanzlichen Behörde, sämtliche Sachverhaltselemente zusammenzutragen, die zur Beurteilung dieser wesentlichen Fragen erforderlich seien. Es sei nicht die Aufgabe der Beschwerdeinstanz, komplexe ergänzende Abklärungen vorzunehmen. Das Bundesverwaltungsgericht würde sonst mit einem Sachentscheid seine Zuständigkeit überschreiten und die betroffene Partei um den gesetzlich vorgesehenen Instanzenzug bringen (vgl. vorgenanntes Urteil D-7853/2015 vom 31. Mai 2017 E. 13 [zur Publikation als Referenzurteil vorgesehen]).</w:t>
      </w:r>
    </w:p>
    <w:p>
      <w:r>
        <w:rPr>
          <w:b/>
        </w:rPr>
        <w:t>E. 4.2</w:t>
      </w:r>
    </w:p>
    <w:p>
      <w:r>
        <w:t>Aus denselben Gründen, ist es dem Gericht auch vorliegend nicht möglich, die sich im Zusammenhang mit einer Überstellung nach Ungarn stellenden Fragen zu beurteilen. Die angefochtene Verfügung ist folglich aufzuheben und die Sache zur vollständigen Sachverhaltsfeststellung sowie zu neuer Entscheidung an die Vorinstanz zurückzuweisen. Somit erübrigt sich eine vertiefte Auseinandersetzung mit den einzelnen Parteivorbringen. Die Beschwerde ist daher gutzuheissen, soweit die Aufhebung der vorinstanzlichen Verfügung beantragt wurde.</w:t>
      </w:r>
    </w:p>
    <w:p>
      <w:r>
        <w:rPr>
          <w:b/>
        </w:rPr>
        <w:t>E. 5</w:t>
      </w:r>
    </w:p>
    <w:p>
      <w:r>
        <w:t>Bei diesem Ausgang des Verfahrens sind keine Kosten zu erheben (Art. 63 Abs. 1 und 2 VwVG).</w:t>
      </w:r>
    </w:p>
    <w:p>
      <w:r>
        <w:rPr>
          <w:b/>
        </w:rPr>
        <w:t>E. 6</w:t>
      </w:r>
    </w:p>
    <w:p>
      <w:r>
        <w:t>Dem obsiegenden und vertretenen Beschwerdeführer ist zulasten der Vor-instanz eine Parteientschädigung für die ihm erwachsenen notwendigen und verhältnismässig hohen Kosten zuzusprechen (Art. 64 Abs.1 VwVG i.V.m. Art. 7 des Reglements vom 21. Februar 2008 über die Kosten und Entschädigungen vor dem Bundesverwaltungsgericht [VGKE, SR 173.320.2]). Der Rechtsvertreter hat keine Kostennote eingereicht, so dass die Entschädigung aufgrund der Akten zu bestimmen und auf insgesamt Fr. 900.- festzusetzen ist (Art.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