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D-3183/2024 vom 29. Mai 2024</w:t>
      </w:r>
    </w:p>
    <w:p>
      <w:r>
        <w:t>Bundesverwaltungsgericht, 2024-05-29, DE</w:t>
      </w:r>
    </w:p>
    <w:p>
      <w:r>
        <w:rPr>
          <w:b/>
        </w:rPr>
        <w:t xml:space="preserve">Quelle: </w:t>
      </w:r>
      <w:r>
        <w:t>https://mcp.opencaselaw.ch/entscheid/bvger_D-3183_2024</w:t>
      </w:r>
    </w:p>
    <w:p>
      <w:r>
        <w:t>FR: TAF D-3183/2024 du 29 mai 2024</w:t>
      </w:r>
    </w:p>
    <w:p>
      <w:r>
        <w:t>IT: TAF D-3183/2024 del 29 maggio 2024</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formgerechte Eingabe ist einzutreten (Art. 108 Abs. 3 AsylG, Art. 48 Abs. 1 und Art. 52 Abs. 1 VwVG).</w:t>
      </w:r>
    </w:p>
    <w:p>
      <w:r>
        <w:rPr>
          <w:b/>
        </w:rPr>
        <w:t>E. 2</w:t>
      </w:r>
    </w:p>
    <w:p>
      <w:r>
        <w:t>Die Kognition des Bundesverwaltungsgerichts und die zulässigen Rügen richten sich im Asylbereich nach Art. 106 Abs. 1 AsylG (vgl. BVGE 2014/26 E. 5).</w:t>
      </w:r>
    </w:p>
    <w:p>
      <w:r>
        <w:rPr>
          <w:b/>
        </w:rPr>
        <w:t>E. 3</w:t>
      </w:r>
    </w:p>
    <w:p>
      <w:r>
        <w:t>Die vorliegende Beschwerde erweist sich als offensichtlich unbegründet, weshalb sie im Verfahren einzelrichterlicher Zuständigkeit mit Zustimmung eines zweiten Richters beziehungsweise einer zweiten Richterin (Art. 111 Bst. e AsylG) ohne einen Schriftenwechsel und mit summarischer Begründung zu behandeln ist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Besitzt ein Antragsteller ein gültiges Visum, so ist grundsätzlich derjenige Mitgliedstaat für die Prüfung des Antrags auf internationalen Schutz zuständig, der das Visum erteilt hat (Art. 12 Abs. 2 Dublin-III-VO). Die Beschwerdeführerin suchte am 14. Februar 2024 in der Schweiz um Asyl nach, während das Visum Spaniens noch bis zum 15. Februar 2024 gültig war (A9/2). Sie bestreitet die in Spanien beantragten Visa nicht. Nachdem die spanischen Behörden sich zum Übernahmeersuchen der Vorinstanz nicht fristgerecht haben vernehmen lassen, steht die grundsätzliche Zuständigkeit Spaniens gemäss Art. 22 Abs. 7 Dublin-III-VO fest.</w:t>
      </w:r>
    </w:p>
    <w:p>
      <w:r>
        <w:rPr>
          <w:b/>
        </w:rPr>
        <w:t>E. 6.1</w:t>
      </w:r>
    </w:p>
    <w:p>
      <w:r>
        <w:t>Die Beschwerdeführerin macht zu Recht keine systemischen Schwachstellen in Spanien geltend. Im Lichte von Art. 3 Abs. 2 Dublin-III-VO gibt es keine wesentlichen Gründe für die Annahme, das Asylverfahren und die Aufnahmebedingungen für Asylsuchende in Spanien würden systemische Schwachstellen aufweisen, die eine Gefahr einer unmenschlichen oder entwürdigenden Behandlung im Sinne des Artikels 4 der EU-Grundrechtecharta mit sich bringen. Im Übrigen ist Spanien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(vgl. auch die Richtlinien des Europäischen Parlaments und des Rates 2013/32/EU vom 26. Juni 2013 zu gemeinsamen Verfahren für die Zuerkennung und Aberkennung des internationalen Schutzes [sog. Verfahrensrichtlinie]; 2013/33/EU vom 26. Juni 2013 zur Festlegung von Normen für die Aufnahme von Personen, die internationalen Schutz beantragen [sog. Aufnahmerichtlinie]).</w:t>
      </w:r>
    </w:p>
    <w:p>
      <w:r>
        <w:rPr>
          <w:b/>
        </w:rPr>
        <w:t>E. 6.2</w:t>
      </w:r>
    </w:p>
    <w:p>
      <w:r>
        <w:t>Unter diesen Umständen ist die Anwendung von Art. 3 Abs. 2 Dublin-III-VO nicht gerechtfertigt beziehungsweise die staatsvertragliche Zuständigkeit Spaniens wird nicht umgestossen.</w:t>
      </w:r>
    </w:p>
    <w:p>
      <w:r>
        <w:rPr>
          <w:b/>
        </w:rPr>
        <w:t>E. 7</w:t>
      </w:r>
    </w:p>
    <w:p>
      <w:r>
        <w:t>Infolge der staatsvertraglichen Zuständigkeit Spaniens und angesichts der nachfolgenden Erwägungen erübrigt sich eine Prüfung der von der Beschwerdeführerin erhobenen formellen Rügen einer unvollständigen Sachverhaltsfeststellung und Verletzung des rechtlichen Gehörs (Abwarten des Klinikaustrittsberichts und einer gesicherten Diagnose; vgl. Beschwerde S. 5 f.) respektive sind diese unbegründet. Das in der Beschwerdebegründung vorgebrachte Eventualbegehren um Rückweisung der Sache zur vollständigen (medizinischen) Feststellung des Sachverhaltes an die Vorinstanz und zur Gewährung des rechtlichen Gehörs der Beschwerdeführerin ist daher abzuweisen.</w:t>
      </w:r>
    </w:p>
    <w:p>
      <w:r>
        <w:rPr>
          <w:b/>
        </w:rPr>
        <w:t>E. 8.1</w:t>
      </w:r>
    </w:p>
    <w:p>
      <w:r>
        <w:t>Die Beschwerdeführerin wirft der Vorinstanz vor, sie habe zu Unrecht keinen Selbsteintritt vorgenommen (Beschwerde, S. 7 f.).</w:t>
      </w:r>
    </w:p>
    <w:p>
      <w:r>
        <w:rPr>
          <w:b/>
        </w:rPr>
        <w:t>E. 8.2</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8.3</w:t>
      </w:r>
    </w:p>
    <w:p>
      <w:r>
        <w:t>Zunächst hat die Beschwerdeführerin kein konkretes und ernsthaftes Risiko dargetan, die spanischen Behörden würden sich weigern, sie aufzunehmen und einen Antrag auf internationalen Schutz unter Einhaltung der Regeln der Verfahrensrichtlinie zu prüfen. Es sind den Akten keine Gründe für die Annahme zu entnehmen, Spanien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Es gibt auch keinen Grund zur Annahme, ihre Überstellung nach Spanien würde zu einer Verletzung von Art. 3 EMRK führen oder Spanien würde ihr dauerhaft die ihr gemäss Aufnahmerichtlinie zustehenden minimalen Lebensbedingungen vorenthalten. Bei einer allfälligen vorübergehenden Einschränkung ist sie gehalten, sich an die spanischen Behörden zu wenden und gegebenenfalls die ihr zustehenden Aufnahmebedingungen auf dem Rechtsweg einzufordern, zumal es sich bei Spanien um einen funktionierenden Rechtsstaat handelt (vgl. Art. 26 Aufnahmerichtlinie). Die Angst vor der Person, welche sie mutmasslich vergewaltigt und sie nach ihrer Ausreise in Spanien aufgespürt hat und derentwegen eine Rückkehr nach Spanien nicht möglich sei, vermögen an dieser Einschätzung nichts zu ändern. Zudem werde die Beschwerdeführerin von der Person gemäss eigenen Angaben «getrackt» (A16/4), was den Schluss nahelegt, dass sie sie auch in der Schweiz finden kann. Überdies hat bereits die Vorinstanz zutreffend darauf hingewiesen, dass die Beschwerdeführerin gehalten ist, sich bei allfälligen Schwierigkeiten oder Übergriffen von Drittpersonen an die spanischen Behörden zu wenden (vorinstanzlicher [vi] Entscheid, S. 6).</w:t>
      </w:r>
    </w:p>
    <w:p>
      <w:r>
        <w:rPr>
          <w:b/>
        </w:rPr>
        <w:t>E. 8.4</w:t>
      </w:r>
    </w:p>
    <w:p>
      <w:r>
        <w:t>Des Weiteren liegen keine Anhaltspunkte vor, wonach die Gesundheit der Beschwerdeführerin bei einer Überstellung nach Spanien ernsthaft gefährdet würde. Gemäss den Akten der Vorinstanz sowie den der Beschwerde beigelegten medizinischen Berichten wurden bei der Beschwerdeführerin folgende Diagnosen festgestellt: Uterus myomatosus (Vergrösserung des Uterus), Ureaplasma urealyticum (Bakterium im Urogenitaltrakt), Herpes, Verdacht einer posttraumatischen Belastungsstörung (PTBS) mit Schlafstörungen und eine schwere depressive Episode ohne psychotische Symptome. Gemäss dem medizinischen Verlaufsblatt lagen alsdann am 2. Mai 2024 (Klinikaustritt) keine Anzeichen für eine Selbst- oder Fremdgefährdung vor und am 3. Mai 2024 ging es ihr gemäss ihren eigenen Angaben - mit Ausnahme ihrer Asylsituation - gut (Arztberichte des Spitals Thurgau vom 5. März 2024 und 2. Mai 2024, Verlaufsblatt Medic Help, S. 5; Beschwerdebeilagen 3 und 5; A/20/4, A21/2, A24/4, A25/3, A26/6; vi-Entscheid, S. 5). Es ist davon auszugehen, dass die geltend gemachten medizinischen Probleme in Spanien adäquat behandelt werden können. Im Weiteren erreichen sie nicht die in Übereinstimmung mit der Rechtsprechung des EGMR erforderliche Schwere, bei der die Schweiz zu einem Selbsteintritt verpflichtet wäre (vgl. Urteil des EGMR Paposhvili gegen Belgien vom 13. Dezember 2016, Grosse Kammer 41738/10, §§ 180-193 m.w.H.; Urteil des EGMR Savran gegen Dänemark vom 7. Dezember 2021, req. no 57467/15, par. 129). Bei einer Gesamtwürdigung vermag an dieser Einschätzung die für einen Selbsteintritt aus medizinischen Gründen ins Feld geführte, auf die vorgebrachte Vergewaltigung sowie einen vorgebrachten Selbstmordversuch zurückgeführte Vulnerabilität der Beschwerdeführerin nichts zu ändern. Es ist den Erwägungen der Vorinstanz zuzustimmen, dass Spanien über eine ausreichende medizinische Infrastruktur verfügt und aufgrund der Aufnahmerichtlinie verpflichtet ist, der Beschwerdeführerin die erforderliche medizinische Behandlung, welche sie dort einfordern kann, zukommen zu lassen (beispielsweise eine psychotherapeutische Aufarbeitung des mutmasslichen Sexualdeliktes; Beschwerdebeilage 3).</w:t>
      </w:r>
    </w:p>
    <w:p>
      <w:r>
        <w:rPr>
          <w:b/>
        </w:rPr>
        <w:t>E. 8.5</w:t>
      </w:r>
    </w:p>
    <w:p>
      <w:r>
        <w:t>Aufgrund des Gesagten ist der Subeventualantrag auf Einholung individueller Garantien (adäquate medizinische, psychotherapeutische Versorgung und Unterbringung) abzuweisen.</w:t>
      </w:r>
    </w:p>
    <w:p>
      <w:r>
        <w:rPr>
          <w:b/>
        </w:rPr>
        <w:t>E. 9.1</w:t>
      </w:r>
    </w:p>
    <w:p>
      <w:r>
        <w:t>Zusammenfassend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 entgegen der Behauptung der Beschwerdeführerin - keine rechtlichen Fehler bei der Ermessensbetätigung ersichtlich sind. Spanien bleibt somit zuständiger Mitgliedstaat gemäss Dublin-III-VO und ist verpflichtet, die Beschwerdeführerin aufzunehmen.</w:t>
      </w:r>
    </w:p>
    <w:p>
      <w:r>
        <w:rPr>
          <w:b/>
        </w:rPr>
        <w:t>E. 9.2</w:t>
      </w:r>
    </w:p>
    <w:p>
      <w:r>
        <w:t>Der Eventualantrag auf Rückweisung der Sache zur Neubeurteilung (Ermessen) ist demgemäss abzuweisen.</w:t>
      </w:r>
    </w:p>
    <w:p>
      <w:r>
        <w:rPr>
          <w:b/>
        </w:rPr>
        <w:t>E. 10</w:t>
      </w:r>
    </w:p>
    <w:p>
      <w:r>
        <w:t>Das SEM ist demnach zu Recht in Anwendung von Art. 31a Abs. 1 Bst. b AsylG auf das Asylgesuch nicht eingetreten und hat - weil die Beschwerdeführerin nicht im Besitz einer gültigen Aufenthalts- oder Niederlassungsbewilligung ist - in Anwendung von Art. 44 AsylG folgerichtig die Überstellung nach Spanien angeordnet.</w:t>
      </w:r>
    </w:p>
    <w:p>
      <w:r>
        <w:rPr>
          <w:b/>
        </w:rPr>
        <w:t>E. 11</w:t>
      </w:r>
    </w:p>
    <w:p>
      <w:r>
        <w:t>Die angefochtene Verfügung verletzt demnach Bundesrecht nicht und ist auch sonst nicht zu beanstanden. Die Beschwerde ist abzuweisen und die Verfügung der Vorinstanz zu bestätigen.</w:t>
      </w:r>
    </w:p>
    <w:p>
      <w:r>
        <w:rPr>
          <w:b/>
        </w:rPr>
        <w:t>E. 12</w:t>
      </w:r>
    </w:p>
    <w:p>
      <w:r>
        <w:t>Das Beschwerdeverfahren ist mit vorliegendem Urteil abgeschlossen, weshalb sich die Anträge auf Anordnung eines Vollzugsstopps und auf Gewährung der aufschiebenden Wirkung als gegenstandslos erweisen.</w:t>
      </w:r>
    </w:p>
    <w:p>
      <w:r>
        <w:rPr>
          <w:b/>
        </w:rPr>
        <w:t>E. 13</w:t>
      </w:r>
    </w:p>
    <w:p>
      <w:r>
        <w:t>Das Gesuch um Gewährung der unentgeltlichen Prozessführung ist abzuweisen, da das Begehren - wie sich aus den vorstehenden Erwägungen ergibt - als aussichtslos zu bezeichnen ist. Die Verfahrenskosten sind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