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D-3183/2014 vom 5. August 2014</w:t>
      </w:r>
    </w:p>
    <w:p>
      <w:r>
        <w:t>Bundesverwaltungsgericht, 2014-08-05, DE</w:t>
      </w:r>
    </w:p>
    <w:p>
      <w:r>
        <w:rPr>
          <w:b/>
        </w:rPr>
        <w:t xml:space="preserve">Quelle: </w:t>
      </w:r>
      <w:r>
        <w:t>https://mcp.opencaselaw.ch/entscheid/bvger_D-3183_2014</w:t>
      </w:r>
    </w:p>
    <w:p>
      <w:r>
        <w:t>FR: TAF D-3183/2014 du 5 août 2014</w:t>
      </w:r>
    </w:p>
    <w:p>
      <w:r>
        <w:t>IT: TAF D-3183/2014 del 5 agosto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1.4</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1.5</w:t>
      </w:r>
    </w:p>
    <w:p>
      <w:r>
        <w:t>Gestützt auf Art. 33a Abs. 2 VwVG i.V.m. Art. 6 AsylG ergeht der vorliegende Entscheid in deutscher Sprache.</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Da es sich vor­liegend, wie nachfolgend aufgezeigt, um eine solche handelt, ist der Be­schwerdeentscheid nur summarisch zu begründen (Art. 111a Abs. 2 AsylG). Gestützt auf Art. 111a Abs. 1 AsylG wurde auf die Durchführung eines Schrif­tenwechsels verzichtet.</w:t>
      </w:r>
    </w:p>
    <w:p>
      <w:r>
        <w:rPr>
          <w:b/>
        </w:rPr>
        <w:t>E. 4</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5.1</w:t>
      </w:r>
    </w:p>
    <w:p>
      <w:r>
        <w:t>Das Bundesamt kann ein im Ausland gestelltes Asylgesuch ablehnen, wenn die asylsuchende Person keine Verfolgung glaubhaft machen kann oder ihr die Aufnahme in einem Drittstaat zugemutet werden kann (Art. 3 und Art. 7 AsylG sowie aArt. 52 Abs. 2 AsylG). Gemäss aArt. 20 Abs. 2 AsylG bewilligt das Bundesamt einer asylsuchenden Person die Einreise zur Abklärung des Sachverhaltes,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AsylV 1 (SR 142.311) vor, dass diese mit der asylsuchenden Person in der Regel eine Befragung durchführt (aArt. 10 Abs. 1 AsylV 1). Ist dies nicht möglich, so wird die asylsuchende Person aufgefordert, ihre Asylgründe schriftlich festzuhalten (aArt.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5.2.1</w:t>
      </w:r>
    </w:p>
    <w:p>
      <w:r>
        <w:t>Die Beschwerdeführerin wurde nicht zu ihrem Asylgesuch befragt. Sie legte ihre Vorbringen jedoch bereits im Asylgesuch vom 27. Februar 2011 schriftlich dar (vgl. Sachverhalt Bst. A). Mit Verfügung vom 5. Juni 2013 wurde sie unter Beilage eines explizit aufgelisteten Fragenkatalogs gebeten, für die vollständige Erstellung des rechtserheblichen Sachverhalts die entsprechenden Fragen vollständig und präzise zu beantworten (vgl. Sachverhalt Bst. B). Hierzu nahm die Beschwerdeführerin am 15. August 2013 schriftlich Stellung (vgl. Sachverhalt Bst. C). Der entscheidwesentliche Sachverhalt) erscheint angesichts der schriftlichen Dar­legung der Asylgründe (vgl. Sachverhalt Bst. A und C) soweit erstellt, dass die entscheidrelevanten Elemente vorliegen.</w:t>
      </w:r>
    </w:p>
    <w:p>
      <w:r>
        <w:rPr>
          <w:b/>
        </w:rPr>
        <w:t>E. 5.2.2</w:t>
      </w:r>
    </w:p>
    <w:p>
      <w:r>
        <w:t>Bei dieser Sachlage bestand keine Veranlassung, die Beschwer­deführerin vor­gängig eines Entscheides durch eine schweizerische Vertretung zu­sätzlich persönlich befragen zu lassen. Das BFM hat den verfahrens­rechtlichen Anforderungen damit Genüge getan.</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Die Einreise ist aber selbst im Falle einer allfälligen Schutzbedürftigkeit zu verweigern, wenn Asylausschlussgründe vorliegen (vgl. BVGE 2011/10).</w:t>
      </w:r>
    </w:p>
    <w:p>
      <w:r>
        <w:rPr>
          <w:b/>
        </w:rPr>
        <w:t>E. 6.1</w:t>
      </w:r>
    </w:p>
    <w:p>
      <w:r>
        <w:t>Zunächst ist darauf hinzuweisen, dass das Bundesverwaltungsgericht mit der Vorinstanz einig geht, dass die Beschwerdeführerin aufgrund der von ihr dargelegten Vergangenheit in ihrem Heimatstaat vor ihrer Ausreise aus Eritrea ernstzunehmende Schwierigkeiten mit den eritreischen Behörden hatte, die insgesamt geeignet erscheinen, eine begründete Furcht vor ernsthaften Nachteilen im Sinne von Art. 3 AsylG glaubhaft zu machen.</w:t>
      </w:r>
    </w:p>
    <w:p>
      <w:r>
        <w:rPr>
          <w:b/>
        </w:rPr>
        <w:t>E. 6.2</w:t>
      </w:r>
    </w:p>
    <w:p>
      <w:r>
        <w:t>Halten sich die asylsuchenden Personen - wie im vorliegenden Fall - in einem Drittstaat auf, bedeutet dies noch nicht zwingend, dass es ihnen auch zuzu­muten ist, sich dort um Aufnahme zu bemühen. In einem solchen Fall ist aber im Sinne einer Vermutung davon auszugehen, die betreffenden Per­sonen hätten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(vgl. BVGE 2011/10). Vorab ist festzuhalten, dass sich die Beschwerde sinngemäss auf eine grundsätzliche Wieder­holung der bisherigen Vorbringen beschränkt. Die Überprüfung der Akten ergibt sodann, dass sich die diesbezüglichen Erwägungen in der angefochtenen Verfügung als zutreffend erweisen (vgl. Sachverhalt Bst. D). Das BFM hat in seiner Verfügung vom 12. September 2013 zutreffend ausgeführt, dass infolge der hohen Anzahl eritreischer Flüchtlinge im Sudan deren Lage nicht einfach ist. Dennoch bestehen im vorliegenden Verfahren keine konkreten Anhaltspunkte für die Annahme, dass ein weiterer Verbleib im Sudan, wo die Beschwerdeführerinnen seit November 2010 leben und vom UNHCR als Flüchtlinge registriert seien, nicht zumutbar oder nicht möglich ist. Zwar werden durch die sudanesischen Behörden - wie in der Beschwerde hinsichtlich von Zwischenfällen im Rahmen von Round-ups mit der Polizei oder dem Militär geltend gemacht - tatsächlich teilweise eritreische Asylsuchende und Flüchtlinge nach Eritrea deportiert. Diese Rückführungen erfolgen indessen nicht flächendeckend. Die Beschwerdeführerinnen sind im Sudan einem Flüchtlingscamp zugewiesen worden, haben es jedoch den Akten zufolge vorgezogen, sich in Khartum aufzuhalten, wo sie die Sicherheit für eritreische Flüchtlinge für besser, aber gleichwohl nicht sicher genug erachten. Sollten sie eine Deportation ernsthaft befürchten, wäre es ihnen zuzumuten, in das ihnen zugewiesene Flüchtlingscamp zurückzukehren. Im Übrigen hat das BFM in seiner Verfügung vom 12. September 2013 übereinstimmend mit der Praxis des Bundesverwaltungsgerichts erwogen, gemäss gesicherten Erkenntnissen sei das Risiko einer Deportation oder Verschleppung für Eritreer, die im Sudan vom UNHCR als Flüchtlinge anerkannt seien, gering. Dem Bericht der Schweizerischen Flüchtlingshilfe (SFH) vom 5. Juli 2012 zufolge, der die Gefahr von Deportationen, Entführungen und Lösegelderpressungen von eritreischen Flüchtlingen im Sudan thematisiert und auf die schwierige Situation hinweist, kann ausserdem entnommen werden, dass insbesondere das UNHCR, die International Organisation for Migration (IOM) und die sudanesischen Behörden bestrebt sind, die Situation zu verbessern. Gleiches gilt für Bestre­bungen hinsichtlich der Sicherheit in den Flüchtlingscamps (vgl. dazu insbe­sondere die Mitteilung des UNHCR vom 25. Januar 2013; "UNHCR concern at refugee kidnappings, dis­appearences in eastern Sudan"). Ihre erstmals in dieser Form auf Beschwerdestufe mit Hinweisen auf Internetseiten geäusserten Befürchtungen sind nicht geeignet, daran etwas zu ändern. Sodann leben sie - wie bereits erwähnt - seit fast vier Jahren im Sudan und vermochten eine gewisse Selbständigkeit zu entfalten. Gemäss Akten geht die Beschwerdeführerin Gelegenheitsarbeiten nach. In diesem Zusammenhang ist auch auf die grosse eritreische Gemeinschaft in Khartum zu verweisen, die eine weitere Eingliederung ebenfalls erleichtert. Zusammenfassend ist festzuhalten, dass vorliegend keine konkreten Hin­weise dafür bestehen, die Beschwerdeführerinnen seien gegenwärtig einer konkreten Gefährdung ausgesetzt oder hätten eine unmittelbar drohende Deportation nach Eritrea oder eine Entführung durch terroristische Gruppen zu befürchten. Schliesslich ist festzustellen, dass keine nahen Verwandten oder Bezugs­personen der Beschwerdeführerin in der Schweiz leben. Der erstmals in der Beschwerde erwähnte Cousin der Beschwerdeführerin, welcher in der Schweiz lebe, vermag den Anforderungen der besonderen Beziehungsnähe zur Schweiz jedenfalls nicht zu genügen.</w:t>
      </w:r>
    </w:p>
    <w:p>
      <w:r>
        <w:rPr>
          <w:b/>
        </w:rPr>
        <w:t>E. 6.3</w:t>
      </w:r>
    </w:p>
    <w:p>
      <w:r>
        <w:t>Die Beschwerdeführerinnen vermochten insgesamt nicht aufzuzeigen, dass sie auf die Schutzgewährung durch die Schweiz angewiesen sind beziehungsweise ihnen gerade die Schweiz den erforderlichen Schutz gewähren muss.</w:t>
      </w:r>
    </w:p>
    <w:p>
      <w:r>
        <w:rPr>
          <w:b/>
        </w:rPr>
        <w:t>E. 7</w:t>
      </w:r>
    </w:p>
    <w:p>
      <w:r>
        <w:t>Aus diesen Erwägungen ergibt sich, dass die angefochtene Verfügung Bundesrecht nicht verletzt sowie den rechtserheblichen Sachverhalt richtig und vollständig feststellt (Art. 106 Abs. 1 AsylG). Das BFM hat die Asylgesuche und das Gesuch um Einreise in die Schweiz zu Recht abgelehnt. Die Beschwerde ist nach dem Gesagten abzuweisen.</w:t>
      </w:r>
    </w:p>
    <w:p>
      <w:r>
        <w:rPr>
          <w:b/>
        </w:rPr>
        <w:t>E. 8</w:t>
      </w:r>
    </w:p>
    <w:p>
      <w:r>
        <w:t>Bei diesem Ausgang des Verfahrens wären die Kosten grundsätzlich den Beschwerdeführerinnen aufzuerlegen (Art. 63 Abs. 1 VwVG). Aus verwal­tungsökonomischen Gründen sowie in Anwendung von Art. 63 Abs. 1 letzter Satz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