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D-3182/2020 vom 23. September 2020</w:t>
      </w:r>
    </w:p>
    <w:p>
      <w:r>
        <w:t>Bundesverwaltungsgericht, 2020-09-23, DE</w:t>
      </w:r>
    </w:p>
    <w:p>
      <w:r>
        <w:rPr>
          <w:b/>
        </w:rPr>
        <w:t xml:space="preserve">Quelle: </w:t>
      </w:r>
      <w:r>
        <w:t>https://mcp.opencaselaw.ch/entscheid/bvger_D-3182_2020</w:t>
      </w:r>
    </w:p>
    <w:p>
      <w:r>
        <w:t>FR: TAF D-3182/2020 du 23 septembre 2020</w:t>
      </w:r>
    </w:p>
    <w:p>
      <w:r>
        <w:t>IT: TAF D-3182/2020 del 23 settembre 2020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gutgeheissen, soweit die Aufhebung der angefochtenen Verfügung beantragt wird.</w:t>
      </w:r>
    </w:p>
    <w:p>
      <w:r>
        <w:rPr>
          <w:b/>
        </w:rPr>
        <w:t>E. 2</w:t>
      </w:r>
    </w:p>
    <w:p>
      <w:r>
        <w:t>Die Verfügung des SEM vom 18. Mai 2020 wird aufgehoben. Die Sache wird zur Gewährung des rechtlichen Gehörs und erneuten Beurteilung an die Vorinstanz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SEM wird angewiesen, dem Beschwerdeführer für das Verfahren vor dem Bundesverwaltungsgericht eine Parteientschädigung von insgesamt Fr. 1'400.- (inkl. Auslagen) auszurichten.</w:t>
      </w:r>
    </w:p>
    <w:p>
      <w:r>
        <w:rPr>
          <w:b/>
        </w:rPr>
        <w:t>E. 5</w:t>
      </w:r>
    </w:p>
    <w:p>
      <w:r>
        <w:t>Dieses Urteil geht an den Beschwerdeführer, das SEM und die kantonale Migrationsbehörde. Die Einzelrichterin: Die Gerichtsschreiberin: Daniela Brüschweiler Sandra Bisig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