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D-3181/2009 vom 22. April 2010</w:t>
      </w:r>
    </w:p>
    <w:p>
      <w:r>
        <w:t>Bundesverwaltungsgericht, 2010-04-22, DE</w:t>
      </w:r>
    </w:p>
    <w:p>
      <w:r>
        <w:rPr>
          <w:b/>
        </w:rPr>
        <w:t xml:space="preserve">Quelle: </w:t>
      </w:r>
      <w:r>
        <w:t>https://mcp.opencaselaw.ch/entscheid/bvger_D-3181_2009</w:t>
      </w:r>
    </w:p>
    <w:p>
      <w:r>
        <w:t>FR: TAF D-3181/2009 du 22 avril 2010</w:t>
      </w:r>
    </w:p>
    <w:p>
      <w:r>
        <w:t>IT: TAF D-3181/2009 del 22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das Verfahren wird im Sinne der Erwägungen zum neuen Entscheid an das BFM zurückgewiesen.</w:t>
      </w:r>
    </w:p>
    <w:p>
      <w:r>
        <w:rPr>
          <w:b/>
        </w:rPr>
        <w:t>E. 3</w:t>
      </w:r>
    </w:p>
    <w:p>
      <w:r>
        <w:t>Es werden keine Verfahrenskosten erhoben. Dem Beschwerdeführer ist von der Vorinstanz eine Parteientschädigung von Fr. 800.- zu entrichten.</w:t>
      </w:r>
    </w:p>
    <w:p>
      <w:r>
        <w:rPr>
          <w:b/>
        </w:rPr>
        <w:t>E. 4</w:t>
      </w:r>
    </w:p>
    <w:p>
      <w:r>
        <w:t>Dieses Urteil geht an: die Rechtsvertreterin des Beschwerdeführers (Einschreiben) das BFM, Abteilung Aufenthalt, mit den Akten Ref.-Nr. N_______ (per Kurier; in Kopie) (...)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