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D-3180/2014 vom 19. August 2014</w:t>
      </w:r>
    </w:p>
    <w:p>
      <w:r>
        <w:t>Bundesverwaltungsgericht, 2014-08-19, DE</w:t>
      </w:r>
    </w:p>
    <w:p>
      <w:r>
        <w:rPr>
          <w:b/>
        </w:rPr>
        <w:t xml:space="preserve">Quelle: </w:t>
      </w:r>
      <w:r>
        <w:t>https://mcp.opencaselaw.ch/entscheid/bvger_D-3180_2014</w:t>
      </w:r>
    </w:p>
    <w:p>
      <w:r>
        <w:t>FR: TAF D-3180/2014 du 19 août 2014</w:t>
      </w:r>
    </w:p>
    <w:p>
      <w:r>
        <w:t>IT: TAF D-3180/2014 del 19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BGG).</w:t>
      </w:r>
    </w:p>
    <w:p>
      <w:r>
        <w:rPr>
          <w:b/>
        </w:rPr>
        <w:t>E. 1.2</w:t>
      </w:r>
    </w:p>
    <w:p>
      <w:r>
        <w:t>Wie im Sachverhalt Bst. H festgehalten, wurden die Beschwerdeführenden mit Zwischenverfügung vom 25. Juni 2014 zur Beschwerdeverbesserung innert sieben Tagen aufgefordert. Diese Zwischenverfügung wurde den Beschwerdeführenden gemäss Empfangsbestätigung am 1. Juli 2014 eröffnet. Abklärungen ergaben, dass die Beschwerdeführenden die Eingabe vom 3. Juli 2014 an das BFM gesendet hatten und diese in der Folge von der Schweizerischen Post wegen unleserlicher Adresse an die Schweizerische Botschaft retourniert worden war. Allerdings ist nicht klar, wann die Eingabe vom 3. Juli 2014 der Schweizerischen Post übergeben worden war und wann die Schweizerischen Post diese wegen unleserlicher Adresse an die Schweizerische Botschaft retourniert hat. Da die Beweislast für die Zustellung an die Partei der eröffnenden Behörde obliegt (vgl. André Moser/Michael Beusch/Lorenz Kneubühler, Prozessieren vor dem Bundesver­wal­tungsgericht, 2. Aufl. Basel 2013, Rz. 3.150, S. 210), ist aufgrund der Aktenlage davon auszugehen, dass die Beschwerdeführenden ihre mangelhafte Beschwerde fristgerecht verbessert haben. Zwar trägt die Eingabe vom 3. Juli 2014 nicht die erforderlichen Unterschriften der Beschwerdeführenden, sondern offensichtlich lediglich deren Fingerabdrücke, indessen erschiene unter Berücksichtigung von Sinn und Zweck der Vorschriften von Art. 52 Abs. 1 und 2 VwVG die Ausfällung eines Nichteintretensentscheides vorliegend als zu formalistisch. Wie in EMARK 2003 Nr. 16 festgehalten, soll nämlich mit dem Erfordernis einer Originalunterschrift in der Verwaltungsrechtspflege vorab die Gefahr einer Manipulation ausgeschlossen werden, das heisst insbesondere die Möglichkeit einer Beschwerdeeinreichung durch eine vom Verfügungsadressaten nicht autorisierte Drittperson. Vorliegend kann aufgrund der Aktenlage die Gefahr einer Manipulation mit hinreichender Bestimmtheit ausgeschlossen werden. So ist auf der Empfangsbestätigung vom 1. Juli 2014 die Unterschrift des Beschwerdeführers zu erkennen, weshalb feststeht, dass die Beschwerdeführenden Kenntnis von der Zwischenverfügung vom 25. Juni 2014 erhielten. Es kann daher auch davon ausgegangen werden, dass die Beschwerdeführenden die Verfasser der Eingabe vom 3. Juli 2014 sind, zumal diese, wie bereits die ursprüngliche Beschwerde, überwiegend offensichtlich mit Hilfe eines Übersetzungsprogramms verfasst wurde (mit dem Unterschied, dass die Eingabe vom 3. Juli 2014 statt in deutscher in englischer Sprache und in verständlicher Form abgefasst ist). Zwar ist die Eingabe vom 3. Juli 2014 nicht in einer Amtssprache des Bundes abge­fasst, jedoch wird in Verfahren betreffend Asylgesuche aus dem Ausland praxisgemäss auch eine in englischer Sprache verfasste Eingabe akzeptiert, vorausgesetzt, diese ist - wie vorliegend - verständlich und es kann ohne weiteres darüber befunden werden.</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nachträglich form­gerecht ein­gereichte Beschwerde ist einzutreten (Art. 108 Abs. 1 AsylG; Art. 105 AsylG i.V.m. Art. 37 VGG und Art. 48 Abs. 1 und Art. 52 Abs. 1 VwVG).</w:t>
      </w:r>
    </w:p>
    <w:p>
      <w:r>
        <w:rPr>
          <w:b/>
        </w:rPr>
        <w:t>E. 2</w:t>
      </w:r>
    </w:p>
    <w:p>
      <w:r>
        <w:t>Mit Beschwerde kann die Verletzung von Bundesrecht und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6.2</w:t>
      </w:r>
    </w:p>
    <w:p>
      <w:r>
        <w:t>Nach aArt.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den Beschwerdeführenden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Die Frage, ob das BFM zu Recht die Flüchtlingseigenschaft der Beschwerdeführenden mangels hinreichendem zeitlichem und sachlichem Zusammenhang verneint hat, kann vorliegend offenbleiben, da aus nachfolgenden Gründen davon auszugehen ist, dass die Beschwerdeführenden im Sudan einen - allenfalls erforderlichen - Schutz gefunden haben und ihnen dort ein weiterer Aufenthalt zumutbar ist. Die Beschwerdeführenden halten sich bereits seit 1989 in Khartum auf, was den Schluss zulässt, dass die dortigen Schwierigkeiten nicht unüber­windbar sind. Im Weiteren ist festzuhalten, dass die Beschwerdeführenden, sollten sie sich an ihrem derzeitigen Aufenthaltsort nicht mehr hinreichend sicher fühlen und sich ihre dortige sonstige Lebenssituation verschlechtern, über die Möglichkeit verfügen, sich beim UNHCR als Flüchtlinge zu registrieren und in dem ihnen zugewiesenen Camp zu leben. Ferner weisen die Beschwerdeführenden kein Profil auf, welches sie mit erheblicher Wahrscheinlichkeit zum Ziel eines Entführungsversuches machen würde. Zwar hat der Beschwerdeführer nach eigenen Angaben in K.________ Oppositionspartien unterstützt und an mehreren Treffen mit der äthiopischen Regierung teilgenommen, wobei er auch Kritik an der äthiopischen Regierungspartei geäussert habe. Indessen liegen diese Tätigkeiten viele Jahre zurück und die Schilderung des Beschwerdeführers, wonach er seit 2006 aus Furcht vor Deportation versteckt in einer Kirche lebe, erscheint angesichts der Tatsache, dass es in den letzten Jahren zu keinen weiteren Vorkommissen gekommen ist, als überzeichnet. Hinsichtlich des Vorbringens der Beschwerdeführenden, in K._______ aufgrund ihres christlichen Glaubens benachteiligt zu werden, ist festzuhalten, dass Christen im Sudan trotz offizieller Anerkennung ihrer Religion offenbar immer stärker unter Druck geraten. Seit der Ausrufung eines unabhängigen multireligiösen Staates Südsudan im Juli 2011 verstärkt die Regierung in Khartum die Islamisierung des Nordens. Indessen findet auch im heutigen Zeitpunkt keine Gruppenver­folgung von Christen im Sudan statt. Die Beschwerdeführenden gaben denn auch nicht an, Opfer von einschneidenden Diskriminierungen geworden zu sein. Zwar können vereinzelte Diskri­minie­run­gen von Christen im Sudan - vor allem in den mehrheitlich von Muslimen bewohnten Regionen - nicht ausgeschlossen werden; diesen könnten sich die Beschwerdeführenden jedoch durch die Auf­nahme in ein Flüchtlingscamp entziehen. Zusammenfassend ist festzuhalten, dass vorliegend keine konkreten Hin­weise dafür bestehen, die Beschwerdeführenden seien gegenwärtig einer Gefährdung ausgesetzt oder hätten eine unmittelbar drohende Deportation nach Äthiopien oder eine Entführung durch terroristische Gruppen zu befürchten. An dieser Einschätzung vermögen die Ausführungen in der Beschwerde, die sich in einer Wiederholung der bereits im Rahmend es vorinstanzlichen Verfahrens geltend gemachten Vorbringen wiederholen, nichts zu ändern. Schliesslich ist festzustellen, dass keine nahen Verwandten oder Be­zugspersonen der Beschwerdeführenden in der Schweiz leben und den Akten auch sonst keine Hinweise auf Anknüpfungspunkte zur Schweiz zu entnehmen sind.</w:t>
      </w:r>
    </w:p>
    <w:p>
      <w:r>
        <w:rPr>
          <w:b/>
        </w:rPr>
        <w:t>E. 6.7</w:t>
      </w:r>
    </w:p>
    <w:p>
      <w:r>
        <w:t>Die Beschwerdeführenden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die Asylgesuche abgelehnt.</w:t>
      </w:r>
    </w:p>
    <w:p>
      <w:r>
        <w:rPr>
          <w:b/>
        </w:rPr>
        <w:t>E. 7</w:t>
      </w:r>
    </w:p>
    <w:p>
      <w:r>
        <w:t>Aus diesen Erwägungen ergibt sich, dass die angefochtene Verfügung Bundesrecht nicht verletzt und den rechtserheblichen Sachverhalt richtig und voll­ständig feststellt (Art. 106 Abs. 1 AsylG). Das BFM hat die Asylge­suche und Gesuche um Einreise in die Schweiz zu Recht abgelehnt. Die Beschwerde ist nach dem Gesagten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