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D-316/2017 vom 28. September 2017</w:t>
      </w:r>
    </w:p>
    <w:p>
      <w:r>
        <w:t>Bundesverwaltungsgericht, 2017-09-28, DE</w:t>
      </w:r>
    </w:p>
    <w:p>
      <w:r>
        <w:rPr>
          <w:b/>
        </w:rPr>
        <w:t xml:space="preserve">Quelle: </w:t>
      </w:r>
      <w:r>
        <w:t>https://mcp.opencaselaw.ch/entscheid/bvger_D-316_2017</w:t>
      </w:r>
    </w:p>
    <w:p>
      <w:r>
        <w:t>FR: TAF D-316/2017 du 28 septembre 2017</w:t>
      </w:r>
    </w:p>
    <w:p>
      <w:r>
        <w:t>IT: TAF D-316/2017 del 28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weder unter den Rechtsbegehren noch in der Begründung der Beschwerde die Asylgewährung beantragt. Die Ablehnung des Asylgesuchs und die Verfügung der Wegweisung (Ziffern 2 und 3 des Dispositivs der angefochtenen Verfügung) sind somit in Rechtskraft erwachsen.</w:t>
      </w:r>
    </w:p>
    <w:p>
      <w:r>
        <w:rPr>
          <w:b/>
        </w:rPr>
        <w:t>E. 4</w:t>
      </w:r>
    </w:p>
    <w:p>
      <w:r>
        <w:t>Der Beschwerdeführer macht in der Replik geltend, im Rahmen der Anhörung sei den besonderen Aspekten seiner Minderjährigkeit nicht Rechnung getragen worden. Die Befragungsperson habe in keiner Weise versucht, ein Vertrauensverhältnis zu schaffen. Diese Einwände erweisen sich indes nur ansatzweise als berechtigt. Es trifft zwar zu, dass der Befragungsstil mitunter etwas befremdet; so sind die wiederholten Einwürfe der Befragerin auf die Antworten, sie finde diese "merkwürdig", kaum sehr hilfreich, und auch ihre kritischen Bemerkungen bei der Schilderung der Haft durch den Beschwerdeführer wirken nicht aufbauend. Dass er aber dadurch in seinem Aussageverhalten zu seinen Ungunsten entscheidrelevant beeinflusst worden wäre, kann zum einen den Akten nicht entnommen werden, war er doch in Lage, die Fluchtgründe aus seiner Sicht immer wieder darzulegen. Zum anderen und vor allem verzichteten sowohl die Vertrauensperson wie auch die Hilfswerkvertretung darauf, im Rahmen der ihnen eingeräumten Möglichkeit nach dem ersten Teil der Anhörung Fragen zu stellen beziehungsweise Einwände zum Befragungsstil vorzubringen, und am Schluss bestätigten sowohl der Beschwerdeführer wie auch die Vertrauensperson die Korrektheit des Protokolls (vgl. A 13/20 Antworten 93 f. und S. 19). Die Hilfswerkvertretung sah in ihrem Beiblatt ebenfalls davon ab, den Befragungsstil zu kritisieren. Dolmetscherprobleme traten offensichtlich nicht auf (vgl. a.a.O. Antworten 1 und S. 20). Den Akten kann auch nicht entnommen werden, dass der Beschwerdeführer in unzulässiger Weise daran gehindert worden wäre, (...) zu zeigen. Nach dem Gesagten muss er sich bei seinen Aussagen behaften lassen. Die gerügten Gehörsverletzungen sind somit zu verneinen.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6.1</w:t>
      </w:r>
    </w:p>
    <w:p>
      <w:r>
        <w:t>Zur vormaligen Praxis des Bundesverwaltungsgerichts Eritrea und namentlich auch die illegale Ausreise aus diesem Land betreffend kann auf das Bundesveraltungsgerichtsurteil D-7898/2015 vom 30. Januar 2017 (als Referenzurteil publiziert) verwiesen werden (vgl. E. 4.1 f.).</w:t>
      </w:r>
    </w:p>
    <w:p>
      <w:r>
        <w:rPr>
          <w:b/>
        </w:rPr>
        <w:t>E. 6.2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6.3</w:t>
      </w:r>
    </w:p>
    <w:p>
      <w:r>
        <w:t>Die in der Beschwerdeschrift vom 16. Januar 2017 erhobenen Einwände gegen die vom SEM angewandte Praxisänderung vermögen - nachdem das Bundesverwaltungsgericht diese im erwähnten Urteil gestützt hat - keine Relevanz mehr zu entfalten. Es erübrigt sich demnach, eingehend auf die erhobenen Einwände gegen die Praxisänderung einzugehen, da diesbezüglich vollumfänglich auf das zitierte Urteil verwiesen werden kann.</w:t>
      </w:r>
    </w:p>
    <w:p>
      <w:r>
        <w:rPr>
          <w:b/>
        </w:rPr>
        <w:t>E. 6.4</w:t>
      </w:r>
    </w:p>
    <w:p>
      <w:r>
        <w:t>In Anbetracht der geänderten Rechtsprechung kann auch die Glaubhaftigkeit der illegalen Ausreise vorliegend offen gelassen werden, da obenstehend erwähnte zusätzliche Faktoren im Falle des Beschwerdeführers zu verneinen sind. Er hatte vor seiner Ausreise gemäss Aktenlage keinen Behördenkontakt betreffend einen allfälligen Einzug in den eritreischen Nationaldienst, so dass er nicht als Deserteur oder Refraktär gelten kann. Allein die Tatsache, dass er nun wohl im dienstpflichtigen Alter steht und allenfalls eine Rekrutierung vor Ort bevorstehen würde, kann, entgegen den Beschwerdevorbringen, nicht als begründete Furcht im Sinne von Art. 3 AsylG qualifiziert werden (vgl. Entscheidungen und Mitteilungen der Schweizerischen Asylrekurskommission [EMARK] 2006 Nr. 3 E. 4.10). Anzufügen ist, dass sich das SEM im angefochtenen Entscheid durchaus mit dem allfällig bevorstehenden Militärdienst auseinandersetzte, dabei aber zutreffend festhielt, er könne weder als Deserteur noch als Refraktär angesehen werden. Andere Anknüpfungspunkte, welche den Beschwerdeführer in den Augen des eritreischen Regimes als missliebige Person erscheinen lassen könnten, sind ebenfalls nicht ersichtlich. So wirken seine Darlegungen zur erlittenen Haft und namentlich auch zur Flucht wiederholt stereotyp und vermitteln kaum den Eindruck von tatsächlich Erlebtem (vgl. A 13/20 Antworten 95 ff.). Dass er anlässlich der BzP bei der Erwähnung von Schlägen in Tränen ausbrach, kann zwar als Realkennzeichen für tatsächlich erlebte physische Gewalt angesehen werden. Dass ihm diese im geltend gemachten Kontext zugefügt wurde, ist, entgegen der nicht stichhaltigen Beschwerdevorbringen, nach dem Gesagten nicht glaubhaft. Schliesslich ist vorliegend offensichtlich auch nicht von einem relevanten oppositionellen politischen Profil auszugehen. Somit bleibt festzuhalten, dass allein die illegale Ausreise keine Furcht vor einer zukünftigen flüchtlingsrechtlich relevanten Verfolgung zu begründen vermag und keine zusätzlichen Faktoren für ein Risikoprofil zu erkennen sind. Wie bereits erwähnt, kann die Frage der Glaubhaftigkeit der illegalen Ausreise mangels flüchtlingsrechtlicher Relevanz daher offenbleiben.</w:t>
      </w:r>
    </w:p>
    <w:p>
      <w:r>
        <w:rPr>
          <w:b/>
        </w:rPr>
        <w:t>E. 6.5</w:t>
      </w:r>
    </w:p>
    <w:p>
      <w:r>
        <w:t>Zusammenfassend erfüllt der Beschwerdeführer die Flüchtlingseigenschaft nicht. Ein Eingehen auf weitere Beschwerdevorbringen erübrigt sich.</w:t>
      </w:r>
    </w:p>
    <w:p>
      <w:r>
        <w:rPr>
          <w:b/>
        </w:rPr>
        <w:t>E. 7</w:t>
      </w:r>
    </w:p>
    <w:p>
      <w:r>
        <w:t>Lehnt das SEM das Asylgesuch ab, so verfügt es in der Regel die Wegweisung aus der Schweiz und ordnet den Vollzug an. Da der Beschwerdeführer über keine ausländerrechtliche Aufenthaltsbewilligung verfügt, wurde auch die Wegweisung rechtmässig angeordnet (vgl. Art. 44 AsylG; BVGE 2013/37). Da der Beschwerdeführer mit der angefochtenen Verfügung wegen Unzumutbarkeit des Wegweisungsvollzugs in der Schweiz vorläufig aufgenommen wurde,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mit Zwischenverfügung vom 1. Februar 2017 die unentgeltliche Rechtspflege gemäss Art. 65 Abs. 1 VwVG gewährt wurde und sich in seinen finanziellen Verhältnissen nichts geändert hat, sind indessen keine Verfahrenskosten aufzuerlegen.</w:t>
      </w:r>
    </w:p>
    <w:p>
      <w:r>
        <w:rPr>
          <w:b/>
        </w:rPr>
        <w:t>E. 9.2</w:t>
      </w:r>
    </w:p>
    <w:p>
      <w:r>
        <w:t>Nachdem dem Beschwerdeführer die unentgeltliche Rechtsverbeiständung gewährt und der rubrizierte Vertreter als Rechtsbeistand eingesetzt wurde, ist ihm ein amtliches Honorar auszurichten.</w:t>
      </w:r>
    </w:p>
    <w:p>
      <w:r>
        <w:rPr>
          <w:b/>
        </w:rPr>
        <w:t>E. 9.3</w:t>
      </w:r>
    </w:p>
    <w:p>
      <w:r>
        <w:t>Das Bundesverwaltungsgericht geht bei amtlicher Vertretung wie mit Zwischenverfügung vom 1. Februar 2017 ausgeführt in der Regel von einem Stundenansatz Fr. 100.- bis Fr. 150.- für nicht-anwaltliche Vertreterinnen und Vertreter aus (vgl. Art. 12 i.V.m. Art. 10 Abs. 2 des Reglements vom 21. Februar 2008 über die Kosten und Entschädigungen vor dem Bundesverwaltungsgericht [VGKE, SR 173.320.2]). Es wird nur der notwendige Aufwand entschädigt. Der Rechtsbeistand reichte am 16. Januar 2017 eine Kostennote ein. Der zeitliche Aufwand erscheint angemessen. Spesen werden grundsätzlich aufgrund der tatsächlichen Kosten ausbezahlt, welche vorliegend aber nicht ersichtlich sind. Ein Pauschalbetrag kann dann vergütet werden, wenn besondere Verhältnisse es rechtfertigen. Solche sind vorliegend indes ebenfalls nicht ersichtlich (vgl. Art. 11 Abs. 1 und 3 VGKE). Ausserdem ist ein Stundenansatz von Fr. 150.- statt 180.- anzusetzen. Zu berücksichtigen ist ferner die Replikeingabe vom 17. März 2017. Demnach ist dem Rechtsvertreter zulasten der Gerichtskasse ein amtliches Honorar von gerundet Fr. 1100.-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