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D-3164/2022 vom 29. August 2022</w:t>
      </w:r>
    </w:p>
    <w:p>
      <w:r>
        <w:t>Bundesverwaltungsgericht, 2022-08-29, FR</w:t>
      </w:r>
    </w:p>
    <w:p>
      <w:r>
        <w:rPr>
          <w:b/>
        </w:rPr>
        <w:t xml:space="preserve">Quelle: </w:t>
      </w:r>
      <w:r>
        <w:t>https://mcp.opencaselaw.ch/entscheid/bvger_D-3164_2022</w:t>
      </w:r>
    </w:p>
    <w:p>
      <w:r>
        <w:t>FR: TAF D-3164/2022 du 29 août 2022</w:t>
      </w:r>
    </w:p>
    <w:p>
      <w:r>
        <w:t>IT: TAF D-3164/2022 del 29 agosto 2022</w:t>
      </w:r>
    </w:p>
    <w:p>
      <w:pPr>
        <w:pStyle w:val="Heading2"/>
      </w:pPr>
      <w:r>
        <w:t>Regeste</w:t>
      </w:r>
    </w:p>
    <w:p>
      <w:r>
        <w:t>Asile et renvoi (réexamen)</w:t>
      </w:r>
    </w:p>
    <w:p>
      <w:pPr>
        <w:pStyle w:val="Heading2"/>
      </w:pPr>
      <w:r>
        <w:t>Erwägungen</w:t>
      </w:r>
    </w:p>
    <w:p>
      <w:r>
        <w:rPr>
          <w:b/>
        </w:rPr>
        <w:t>E. 17</w:t>
      </w:r>
    </w:p>
    <w:p>
      <w:r>
        <w:t>juin 2005 sur le Tribunal fédéral [LTF, RS 173.110]), exception non réalisée in casu, que l’intéressé a qualité pour recourir (art. 48 al. 1 PA), que, présenté dans la forme et le délai prescrits par la loi (art. 52 PA et art. 108 al. 6 LAsi), son recours est, en principe,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111c LAsi), que, malgré la modification législative du 14 décembre 2012, la jurisprudence relative aux critères de délimitation entre réexamen et demande multiple, variante particulière du réexamen classique, demeure d’actualité (cf. ATAF 2014/39, consid. 4.6 ; Jurisprudence et informations de la Commission suisse de recours en matière d’asile [ci-après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 dûment motivée ») et aux délais,</w:t>
      </w:r>
    </w:p>
    <w:p>
      <w:r>
        <w:t>D-3164/2022 Page 4 que le réexamen de décisions administratives entrées en force ne doit pas être admis trop facilement (cf. arrêt du Tribunal D-1331/2022 du 27 avril 2022, p. 6 et réf. cit.), qu’il ne saurait en particulier servir à remettre sans cesse en cause des décisions exécutoires ou à détourner les délais prévus pour les voies de droit ordinaires (art. 111b al. 4 et art. 111c al. 2 LAsi ; voir aussi ATF 136 II 177 consid. 2.1, 127 I 133 consid. 6 in fine), qu’en l’occurrence, dans sa demande du 18 mars 2022 – respectivement dans son recours du 20 juillet suivant –, l’intéressé s’est prévalu de trois lettres de soutien de membres du Parti national panafricain (ci-après : PNP) (…) (cf. pièces nos 4 à 6 du bordereau du 18 mars 2022, en lien avec la pièce no 2 de ce même bordereau), de scans d’articles de presse (…) (cf. pièce no 7 du bordereau du 18 mars 2022), d’un document intitulé « Extrait de la réunion hebdomadaire (…) » (cf. pièce no 9 du bordereau du</w:t>
      </w:r>
    </w:p>
    <w:p>
      <w:r>
        <w:rPr>
          <w:b/>
        </w:rPr>
        <w:t>E. 18</w:t>
      </w:r>
    </w:p>
    <w:p>
      <w:r>
        <w:t>mars 2022), dont l’authenticité n’est pas démontrée ; qu’en toute hypothèse, cet écrit ne comporte aucune information ayant trait directement à la personne du recourant, de sorte qu’il n’est pas directement pertinent en la cause, que les scans de plusieurs coupures de presses extraites de (…) (cf. pièce no 7 du bordereau du 18 mars 2022) ne sont pas décisifs eux non plus, en tant qu’ils n’attestent aucun fait se rapportant directement à la personne du recourant et apte à rendre à tout le moins vraisemblable (art. 7 LAsi) un risque sérieux et concret que celui-ci puisse à son retour au pays se retrouver dans le collimateur des autorités, pour l’un au moins des motifs d’asile exhaustivement énumérés à l’art. 3 LAsi, qu’en tant qu’à teneur des développements de son recours du</w:t>
      </w:r>
    </w:p>
    <w:p>
      <w:r>
        <w:rPr>
          <w:b/>
        </w:rPr>
        <w:t>E. 20</w:t>
      </w:r>
    </w:p>
    <w:p>
      <w:r>
        <w:t>juillet 2022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prononcé immédiat de l’arrêt au fond rend sans objet la demande d’octroi de l’effet suspensif au recours (cf. chiffre 2 des conclusions du recours, p. 9, en lien avec la motivation en p. 8), l’ordonnance de mesures superprovisionnelles du 21 juillet 2022 étant quant à elle désormais caduque,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D-3164/2022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