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D-3161/2022 vom 26. Juli 2022</w:t>
      </w:r>
    </w:p>
    <w:p>
      <w:r>
        <w:t>Bundesverwaltungsgericht, 2022-07-26, DE</w:t>
      </w:r>
    </w:p>
    <w:p>
      <w:r>
        <w:rPr>
          <w:b/>
        </w:rPr>
        <w:t xml:space="preserve">Quelle: </w:t>
      </w:r>
      <w:r>
        <w:t>https://mcp.opencaselaw.ch/entscheid/bvger_D-3161_2022</w:t>
      </w:r>
    </w:p>
    <w:p>
      <w:r>
        <w:t>FR: TAF D-3161/2022 du 26 juillet 2022</w:t>
      </w:r>
    </w:p>
    <w:p>
      <w:r>
        <w:t>IT: TAF D-3161/2022 del 26 luglio 2022</w:t>
      </w:r>
    </w:p>
    <w:p>
      <w:pPr>
        <w:pStyle w:val="Heading2"/>
      </w:pPr>
      <w:r>
        <w:t>Regeste</w:t>
      </w:r>
    </w:p>
    <w:p>
      <w:r>
        <w:t>Verweigerung vorübergehender Schutz</w:t>
      </w:r>
    </w:p>
    <w:p>
      <w:pPr>
        <w:pStyle w:val="Heading2"/>
      </w:pPr>
      <w:r>
        <w:t>Erwägungen</w:t>
      </w:r>
    </w:p>
    <w:p>
      <w:r>
        <w:rPr>
          <w:b/>
        </w:rPr>
        <w:t>E. 27</w:t>
      </w:r>
    </w:p>
    <w:p>
      <w:r>
        <w:t>Mai 2022 ausführte, die Abklärungen hätten ergeben, dass der Be- schwerdeführer nicht zu der vom Bundesrat mit Beschluss vom 11. März 2022 definierten Gruppe der schutzberechtigten Personen gehöre, weil er in Sicherheit und dauerhaft in seinen Heimatstaat – Türkei – zurückkehren könne, dass sich aus den Akten keine Anhaltspunkte dafür ergeben hätten, dass dem Beschwerdeführer im Falle einer Rückkehr in sein Heimatland mit ei- ner beachtlichen Wahrscheinlichkeit eine durch Art. 3 EMRK verbotene Strafe oder Behandlung drohe,</w:t>
      </w:r>
    </w:p>
    <w:p>
      <w:r>
        <w:t>D-3161/2022 Seite 5 dass weder die herrschende politische Situation noch andere Gründe vor- lägen, welche gegen die Zumutbarkeit der Rückführung in die Türkei spre- chen würden, dass er nämlich ein türkischer Staatsbürger sei und (Nennung Identitäts- dokument) besitze, dass in der Türkei seine (Nennung Verwandte) lebten, er während (Nen- nung Zeitpunkt) regelmässig seine Heimat besucht habe, sein Vater (Nen- nung Tätigkeit) und seine Familie sein (Nennung Ausbildung) finanziert habe, dass auch der Umstand, in der Türkei allenfalls sein (Nennung Ausbildung) nicht weiterführen zu können beziehungsweise keinen (...)platz an einer (Nennung Institution) zu finden und Zukunftsängste zu haben, nicht ge- nüge, um eine Rückkehr in die Türkei als unzumutbar zu erachten (vgl. SEM act. 1161184-8/6, S. 3), dass der Beschwerdeführer in seiner Beschwerde an seinen bisherigen Ausführungen festhält und anführt, bei einer Rückkehr in die Türkei werde ihm eine Fortsetzung seines (Nennung Ausbildung) verunmöglicht, zumal ihm dort sein bisheriges (Nennung Ausbildung) nicht angerechnet werde und diejenigen türkischen (Nennung Institutionen), bei welchen er sich be- worben habe, seine Bewerbung abgelehnt hätten, dass ferner das SEM das Rechtsgleichheitsgebot verletzt habe, indem es die Gesuche von (Nennung Personen und vorinstanzliche Verfahrensnum- mern), die sich an der gleichen (Nennung Institution) wie er auf (Nennung Ausbildung) vorbereitet hätten, gutgeheissen und diesen in der Schweiz vorübergehenden Schutz gewährt habe, dass sodann – entgegen der vorinstanzlichen Ansicht – angesichts seiner persönlichen Situation und dem Wissen um die Unmöglichkeit einer Wei- terführung (Nennung Ausbildung) durchaus von der Unzumutbarkeit des Vollzugs der Wegweisung auszugehen sei, dass entgegen der Vorbringen in der Beschwerdeschrift die vorinstanzliche Verfügung zu überzeugen vermag und auf jene Begründung vollumfänglich zu verweisen ist, dass sich die Rüge, die Vorinstanz habe das Rechtsgleichheitsgebot ver- letzt, als unbegründet erweist,</w:t>
      </w:r>
    </w:p>
    <w:p>
      <w:r>
        <w:t>D-3161/2022 Seite 6 dass das Rechtsgleichheitsgebot verletzt ist, wenn hinsichtlich einer ent- scheidwesentlichen Tatsache rechtliche Unterscheidungen getroffen wer- den, für die kein vernünftiger Grund in den zu regelnden Verhältnissen be- steht, oder wenn Unterscheidungen unterlassen werden, die aufgrund der Verhältnisse hätten getroffen werden müssen (vgl. Urteil des BVGer D-378/2020 vom 3. Februar 2021 E. 6.3 m.w.H.), dass vorliegend offenbleiben kann, ob die Behauptung des Beschwerde- führers, die drei (Nennung Personen) hätten in der Schweiz vorübergehen- den Schutz erhalten, überhaupt zutrifft, dass nämlich alleine der Umstand, dass die drei genannten Bekannten al- lenfalls an der gleichen (Nennung Institution) in der Ukraine studiert haben wie er noch keinen insgesamt vergleichbaren Sachverhalt darzustellen ver- mag, dass die Vorinstanz im Übrigen substanziiert dargelegt hat, weshalb es den Beschwerdeführer nicht einer der vom Bundesrat in seinem Beschluss vom 11. März 2022 definierten Gruppe der schutzberechtigten Personen ange- hörend erachtet hat, dass es die im erwähnten Beschluss definierten Kriterien aufgeführt und in Berücksichtigung der Vorbringen des Beschwerdeführers und den diesbe- züglich eingereichten Beweismitteln zu seiner persönlichen Situation eine entsprechende Subsumption vorgenommen hat, dass die Vorinstanz ihre Einschätzung sodann auch nachvollziehbar be- gründet hat, weshalb ihr Vorgehen nicht zu beanstanden ist, dass sodann der Beschwerdeführer einerseits nicht ukrainischer Staatsan- gehöriger ist und andererseits nicht über einen Schutzstatus dieses Staats verfügt, womit die Anwendung von Buchstaben a und b der Allgemein- verfügung vom 11. März 2022 ausser Betracht fällt, dass eine Anwendung von Buchstabe c der Allgemeinverfügung unter an- derem voraussetzen würde, dass der Beschwerdeführer nicht in Sicherheit und dauerhaft in die Türkei zurückkehren könnte, dass der Beschwerdeführer die Türkei nicht wegen einer persönlichen Ver- folgungssituation verlassen hat, sondern im Wesentlichen wegen der feh- lenden Zukunftsperspektiven mit Blick auf eine (...) Ausbildung und weil er sich in der Folge dort als Mensch nicht gut aufgenommen gefühlt hat (vgl. act. 2, S. 3),</w:t>
      </w:r>
    </w:p>
    <w:p>
      <w:r>
        <w:t>D-3161/2022 Seite 7 dass er dementsprechend in der Ukraine auch nicht um Schutz nachge- sucht hatte, dass der Beschwerdeführer, da er in seiner Rechtsmitteleingabe in materi- eller Hinsicht seine bereits beim SEM angeführte Begründung wiederholt und lediglich in pauschaler Weise die vorinstanzliche Schlussfolgerung in Zweifel zieht, dieser Einschätzung nichts Konkretes entgegenzusetzen vermag, dass, wie sich bereits aus dem bisher Gesagten ergibt, den Ausführungen des Beschwerdeführers anlässlich der Befragung vom 2. Mai 2022 (vgl. act. 2) auch sonst nichts zu entnehmen ist, was eine sichere und dauer- hafte Rückkehr in den Heimatstaat in Frage stellen könnte, dass das SEM damit zu Recht das Gesuch um Gewährung des vorüber- 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SEM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vom 16. Dezember 2005 über die Ausländerinnen und Ausländer und über die Integration [AIG, SR 142.20,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D-3161/2022 Seite 8 dass der Beschwerdeführer in der Schweiz kein Asylgesuch gestellt hat, dass den Akten keine Hinweise auf eine Verletzung des flüchtlingsrechtli- 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der Bundesverfassung der Schweizerischen Eidgenossenschaft vom 18. April 1999 (BV, SR 101), von Art. 3 des Übereinkommens vom 10. De- zember 1984 gegen Folter und andere grausame, unmenschliche oder er- 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Heimatstaat noch individuelle Gründe des in (Nennung Ort) geborenen und mutmasslich von dort stammenden Beschwerdeführers auf eine konkrete Gefährdung im Falle einer Rückkehr schliessen lassen, dass dabei zu berücksichtigen ist, dass der Beschwerdeführer gemäss ei- genen Aussagen an seinem Herkunftsort über ein familiäres Netz (Nen- nung Verwandte) verfügt, wobei der Vater als (Nennung Tätigkeit) ist und seine Familie (Nennung Ausbildung) in der Ukraine finanziert hat, dass er in seiner Beschwerdeschrift diesbezüglich nichts geltend macht, das zu einer anderen Einschätzung führen müsste, dass der Vollzug der Wegweisung in die Türkei folglich als zumutbar zu erachten ist, dass der Vollzug der Wegweisung des Beschwerdeführers in den Heimat- staat schliesslich möglich ist, da keine Vollzugshindernisse bestehen (Art. 83 Abs. 2 AIG), er im Besitz eines (Nennung Dokument) ist und es ihm obliegt, diesen bei allfälligem Ablauf der Gültigkeit verlängern zu lassen (vgl. Art. 8 Abs. 4 AsylG; BVGE 2008/34 E. 12),</w:t>
      </w:r>
    </w:p>
    <w:p>
      <w:r>
        <w:t>D-3161/2022 Seite 9 dass nach dem Gesagten auch der von der Vorinstanz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Gesuche um Gewährung der unentgeltlichen Prozessführung und der unentgeltlichen Rechtsverbeiständung abzuweisen sind, da die Begeh- ren – wie sich aus den angestellten Erwägungen ergibt – als aussichtslos im Sinne von Art. 65 Abs. 1 VwVG zu bezeichnen sind, dass bei diesem Ausgang des Verfahrens die Kosten von Fr. 750.– (Art. 1–3 des Reglements vom 21. Februar 2008 über die Kosten und Ent- schädigungen vor dem Bundesverwaltungsgericht [VGKE, SR 173.320.2]) dem Beschwerdeführer aufzuerlegen sind (Art. 63 Abs. 1 VwVG). (Dispositiv nächste Seite)</w:t>
      </w:r>
    </w:p>
    <w:p>
      <w:r>
        <w:t>D-3161/2022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