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D-3153/2015 vom 22. Januar 2019</w:t>
      </w:r>
    </w:p>
    <w:p>
      <w:r>
        <w:t>Bundesverwaltungsgericht, 2019-01-22, DE</w:t>
      </w:r>
    </w:p>
    <w:p>
      <w:r>
        <w:rPr>
          <w:b/>
        </w:rPr>
        <w:t xml:space="preserve">Quelle: </w:t>
      </w:r>
      <w:r>
        <w:t>https://mcp.opencaselaw.ch/entscheid/bvger_D-3153_2015</w:t>
      </w:r>
    </w:p>
    <w:p>
      <w:r>
        <w:t>FR: TAF D-3153/2015 du 22 janvier 2019</w:t>
      </w:r>
    </w:p>
    <w:p>
      <w:r>
        <w:t>IT: TAF D-3153/2015 del 22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verfahrensrechtlicher Hinsicht wird in der Beschwerde zunächst gerügt, die Vorinstanz habe in Verletzung des Untersuchungsgrundsatzes keine Abwägung der für und gegen den Beschwerdeführer sprechenden Sachverhaltselemente vorgenommen, sondern habe im Gegenteil nur die angeblich gegen ihn sprechenden Elemente erwähnt. Vom Beschwerdeführer geschilderte Glaubwürdigkeitselemente seien unzulässigerweise nicht gewürdigt worden. Im Weiteren wird in der Replik vom 23. Juli 2015 beanstandet, die Vorinstanz habe sich zur Praxisänderung hinsichtlich der Zumutbarkeit der Wegweisung, welche ernsthafte sachliche Gründe voraussetze, mit keinem Wort geäussert, weil es eben keine sachlichen Gründe gebe. Auch in der Stellungnahme vom 6. Juni 2016 wird darauf hingewiesen, dass die Vorinstanz bis heute keinen sachlichen Grund genannt habe, der eine Praxisänderung rechtfertige. Soweit sie ausführe, hinsichtlich des Wegweisungsvollzugs würden keine neuen Sachverhalte vorliegen, gelte es ausdrücklich festzuhalten, dass es ihre Aufgabe sei, ihre Praxisänderung mit sachlichen Gründen beziehungsweise neuen Sachverhalten oder Berichten zu begründen. Sie führe zwar aus, dass sich die Schweizer Asylpraxis zu Eritrea nicht auf den Dienstreisebericht von K._______ stütze, lasse aber bezeichnenderweise völlig offen, worauf sie sich nun bei diesem fragwürdigen Entscheid stütze. Diese Rügen sind vorab zu prüfen, da sie allenfalls geeignet wären, eine Kassation der vorinstanzlichen Verfügung zu bewirken.</w:t>
      </w:r>
    </w:p>
    <w:p>
      <w:r>
        <w:rPr>
          <w:b/>
        </w:rPr>
        <w:t>E. 4.1</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Auer/Müller/Schindler [Hrsg.], VwVG, Kommentar zum Bundesgesetz über das Verwaltungsverfahren, 2008, Art. 49 N. 28 S. 676 f.). Die Untersuchungspflicht der Behörden findet ihre Grenzen an der Mitwirkungspflicht eines Gesuchstellers (vgl. Art. 8 AsylG), der auch die Substanziierungslast trägt (vgl. Art. 7 AsylG).</w:t>
      </w:r>
    </w:p>
    <w:p>
      <w:r>
        <w:rPr>
          <w:b/>
        </w:rPr>
        <w:t>E. 4.2</w:t>
      </w:r>
    </w:p>
    <w:p>
      <w:r>
        <w:t>So ist die Tatsache, dass die Vorinstanz gewisse Sachverhaltselemente in ihrer Verfügung nicht explizit erwähnte beziehungsweise berücksichtigte, vorliegend nicht auf eine unrichtige oder ungenügende Abklärung des Sachverhalts zurückzuführen, sondern beschlägt die der angefochtenen Verfügung zugrunde liegende rechtliche Würdigung der Vorbringen. Diesbezüglich liegt im Übrigen auch keine Verletzung der Begründungspflicht vor, zumal die angefochtene Verfügung die wesentlichen Überlegungen der Vorinstanz beinhaltet und es dem Beschwerdeführer möglich war, den Entscheid sachgerecht anzufechten (vgl. BVGE 2008/47 E. 3.2 mit Hinweisen). Die Vorinstanz hat sich mit den entscheidwesentlichen Vorbringen auseinandergesetzt. Zusätzliche Abklärungen im vorliegenden Beschwerdeverfahren könnten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4.3</w:t>
      </w:r>
    </w:p>
    <w:p>
      <w:r>
        <w:t>Auch die Rüge, wonach die Vorinstanz keinen sachlichen Grund für eine Praxisänderung genannt habe, erweist sich als unbegründet. Gemäss im Verfügungszeitpunkt gültiger Rechtsprechung (vgl. Entscheidungen und Mitteilungen der Schweizerischen Asylrekurskommission [EMARK] 2005 Nr. 12) wurde der Vollzug der Wegweisung von abgewiesenen Asylsuchenden nach Eritrea dann als zumutbar erachtet, wenn begünstigende individuelle Umstände vorlagen. Das SEM hat in der angefochtenen Verfügung auf solche Umstände (Beziehungsnetz, Schulausbildung, Arbeitsmöglichkeit) hingewiesen. Es hat zwar nicht explizit auf die entsprechend publizierte Praxis Bezug genommen, diese jedoch in seinem Entscheid klarerweise zur Anwendung gebracht. Damit ist die Vorinstanz sowohl der Untersuchungs- als auch der Begründungspflicht nachgekommen und eine Praxisänderung ist nicht zu erkennen.</w:t>
      </w:r>
    </w:p>
    <w:p>
      <w:r>
        <w:rPr>
          <w:b/>
        </w:rPr>
        <w:t>E. 4.4</w:t>
      </w:r>
    </w:p>
    <w:p>
      <w:r>
        <w:t>Der Vollständigkeit halber ist an dieser Stelle lediglich noch anzumerken, dass das SEM bereits in anderen Verfahren ausdrücklich festgehalten hat, es handle sich beim Dienstreisebericht vom 9. Februar 2015 um ein internes Dokument (vgl. Urteil des BVGer D-6657/2015 vom 15. Juni 2016). Das Ziel dieser Reise sei denn auch nicht die Überprüfung der Asylpraxis des SEM gewesen, sondern die Fortführung der Gespräche mit Eritrea, die Erörterung der aktuellen Lage und die Diskussion möglicher Perspektiven der künftigen Zusammenarbeit. Entscheidend ist in diesem Zusammenhang, dass der fragliche Bericht weder als Grundlage für das vorliegende Urteil dient noch eine Praxisänderung begründet (vgl. E. 4.3).</w:t>
      </w:r>
    </w:p>
    <w:p>
      <w:r>
        <w:rPr>
          <w:b/>
        </w:rPr>
        <w:t>E. 5</w:t>
      </w:r>
    </w:p>
    <w:p>
      <w:r>
        <w:t>Das Bundesverwaltungsgericht hat die Anforderungen an das Glaubhaftmachen der Vorbringen in einem publizierten Entscheid dargelegt und folgt dabei ständiger Praxis. Darauf kann hier verwiesen werden (vgl. BVGE 2010/57 E. 2.2 f.). Der Vollständigkeit halber ist darauf hinzuweisen, dass der Beschwerdeführer anlässlich der Anhörung zu den Asylgründen vom 14. April 2015 die Gelegenheit erhielt, sich zu seinen widersprüchlichen Aussagen bei der Kurzbefragung zu äussern. Er sagte daraufhin, dass er sich nicht erklären könne, wie es zu den Fehlern gekommen sei beziehungsweise es sei ihm vor allem daran gelegen gewesen, die Kurzbefragung schnell hinter sich zu bringen, weshalb er irgendetwas gesagt habe (vgl. A18/20 S. 16 f. F. 169 f.). In Anbetracht der Bedeutung, die auch der Kurzbefragung für das Asylverfahren zukommt, ist eine solche Einstellung mit derjenigen einer tatsächlich verfolgten Person unvereinbar.</w:t>
      </w:r>
    </w:p>
    <w:p>
      <w:r>
        <w:rPr>
          <w:b/>
        </w:rPr>
        <w:t>E. 6</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einlässlich begründet, weshalb der Grossteil der Aussagen zum militärischen Aufgebot unglaubhaft ausgefallen ist. Die Rechtsmitteleingabe erschöpft sich in spärlichen Erklärungsversuchen und haltlosen Rügen, womit sie nicht aufzeigt, inwiefern die vorinstanzliche Beweiswürdigung Bundesrecht verletzen oder zu einer fehlerhaften Sachverhaltsfeststellung führen soll. Solches lässt sich auch nicht erkennen. In Ergänzung zu den Ausführungen der Vorinstanz ist hervorzuheben, dass es merkwürdig anmutet, wenn der sich im militärdienstpflichtigen Alter befindende Beschwerdeführer überhaupt nicht beziehungsweise nicht zum fraglichen Zeitpunkt mit einem militärischen Aufgebot gerechnet haben will (vgl. A18/20 S. 6 F. 50, F. 57). Im Weiteren darf davon ausgegangen werden, dass er vor dem Hintergrund, wonach er sich dem obligatorischen Militärdienst entziehen wollte, ein Interesse daran gehabt hätte, die Schule fortzusetzen, anstatt, wie er angab, diese abzubrechen (vgl. A18/20 S. 3 F. 17, F. 21). Übereinstimmend mit der Vorinstanz muss ausserdem bezweifelt werden, dass der Beschwerdeführer sich von der Verwaltung, von der er gesucht worden sein will, eine Identitätskarte hat ausstellen lassen (vgl. A18/20 S. 9 F. 88, S. 12 F. 117 ff.). Schliesslich sind Zweifel auch hinsichtlich der Echtheit dieser beim SEM eingereichten Identitätskarte angebracht, zumal sie insbesondere auf der Vorderseite, wo sich das Foto des Beschwerdeführers befindet, weder einen Trocken- noch einen Nassstempel aufweist. Diese Zweifel werden zusätzlich dadurch verstärkt, dass gefälschte eritreische, auf dem Schwarzmarkt erhältliche Identitätskarten keine Seltenheit sind (vgl. refworld, Érythrée: information sur le nombre de pièces d'identité frauduleuses, y compris sur les cartes d'identité nationales [2012-août 2014], 05.09.2014, https://www.refworld.org/docid/542a718d4.html , abgerufen am 20.12.2018). Zur Vermeidung von Wiederholungen kann an dieser Stelle im Übrigen auf die Ausführungen in der angefochtenen Verfügung verwiesen werden.</w:t>
      </w:r>
    </w:p>
    <w:p>
      <w:r>
        <w:rPr>
          <w:b/>
        </w:rPr>
        <w:t>E. 7.1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Subjektive Nachfluchtgründe liegen dann vor, wenn eine asylsuchende Person erst durch die unerlaubte Ausreise aus dem Heimat- oder Herkunftsstaat oder wegen ihres Verhaltens nach der Ausreise im Falle einer Rückkehr Verfolgung zu befürchten hat (vgl. Caroni/Scheiber/Preisig/Zoeteweij, Migrationsrecht, 4. Aufl. 2018, S. 441).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7.2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7.3</w:t>
      </w:r>
    </w:p>
    <w:p>
      <w:r>
        <w:t>Die Frage der Glaubhaftigkeit der vom Beschwerdeführer geltend gemachten illegalen Ausreise aus Eritrea kann - aufgrund der mit UrteilD-7898/2015 vom 30. Januar 2017 geänderten Praxis - letztlich offenbleiben, womit sich eine Auseinandersetzung mit den Vorbringen zur illegalen Ausreise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wobei auf die Ausführungen zur Glaubhaftigkeit der Vorfluchtgründe verwiesen werden kann (vgl. oben E. 6). Andere zusätzliche Anknüpfungspunkte, welche den Beschwerdeführer in den Augen der eritreischen Behörden als missliebige Person erscheinen liessen, sind aus den Akten nicht ersichtlich.</w:t>
      </w:r>
    </w:p>
    <w:p>
      <w:r>
        <w:rPr>
          <w:b/>
        </w:rPr>
        <w:t>E. 7.4</w:t>
      </w:r>
    </w:p>
    <w:p>
      <w:r>
        <w:t>Nach dem Gesagten ergibt sich, dass das SEM die Flüchtlingseigenschaft des Beschwerdeführers aufgrund subjektiver Nachfluchtgründe im Hinblick auf die illegale Ausreise zu Recht verneint hat. Bei dieser Sachlage erübrigt es sich, die angefochtene Verfügung zu kassieren und zu neuem Entscheid an die Vorinstanz zurückzuweisen.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Ausländer- und Integrationsgesetz [AIG, SR 142.20]).</w:t>
      </w:r>
    </w:p>
    <w:p>
      <w:r>
        <w:rPr>
          <w:b/>
        </w:rPr>
        <w:t>E. 9.1</w:t>
      </w:r>
    </w:p>
    <w:p>
      <w:r>
        <w:t>Nach Art. 83 Abs. 3 AIG ist der Vollzug nicht zulässig, wenn völkerrechtliche Verpflichtungen der Schweiz einer Weiterreise der Ausländerin oder des Ausländers in den Heimat-, Herkunfts- oder einen Drittstaat entgegenstehen.</w:t>
      </w:r>
    </w:p>
    <w:p>
      <w:r>
        <w:rPr>
          <w:b/>
        </w:rPr>
        <w:t>E. 9.1.1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hier auch Art. 4 EMRK).</w:t>
      </w:r>
    </w:p>
    <w:p>
      <w:r>
        <w:rPr>
          <w:b/>
        </w:rPr>
        <w:t>E. 9.1.2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Ferner prüfte das Gericht ausführlich die Zulässigkeit des Wegweisungsvollzugs sowohl unter dem Gesichtspunkt des Zwangsarbeitsverbots (Art. 4 Abs. 2 EMRK; vgl. dazu nachfolgend E. 9.1.2.2) als auch unter jenem des Verbots der Folter und der unmenschlichen und erniedrigenden Behandlung (Art. 3 EMRK; vgl. dazu nachfolgend E. 9.1.2.3).</w:t>
      </w:r>
    </w:p>
    <w:p>
      <w:r>
        <w:rPr>
          <w:b/>
        </w:rPr>
        <w:t>E. 9.1.2.1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 stellte das Bundesverwaltungsgericht fest, dass es im eritreischen Nationaldienst - insbesondere in der Grundausbildung und im militärischen Nationaldienst - zu Misshandlungen und sexuellen Übergriffen komme (vgl. zum Ganzen Urteil des BVGer E-5022/2017 E. 6.1.5.2).</w:t>
      </w:r>
    </w:p>
    <w:p>
      <w:r>
        <w:rPr>
          <w:b/>
        </w:rPr>
        <w:t>E. 9.1.2.2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Urteil des BVGer E-5022/2017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9.1.2.3</w:t>
      </w:r>
    </w:p>
    <w:p>
      <w:r>
        <w:t>Gemäss Praxis des Europäischen Gerichtshofs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stattfänden und jede Dienstleistende und jeder Dienstleistende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Urteil E-5022/2017 E. 6.1.6 - 6.1.8).</w:t>
      </w:r>
    </w:p>
    <w:p>
      <w:r>
        <w:rPr>
          <w:b/>
        </w:rPr>
        <w:t>E. 9.1.3</w:t>
      </w:r>
    </w:p>
    <w:p>
      <w:r>
        <w:t>Im Übrigen ist darauf hinzuweisen, dass das Bundesverwaltungsgericht die Zulässigkeit des Wegweisungsvollzugs im jüngsten Entscheid - aufgrund des fehlenden Rückübernahmeabkommens zwischen der Schweiz und Eritrea - lediglich für freiwillige Rückkehrer beurteilte, und die Zulässigkeit zwangsweiser Rückführungen ausdrücklich offen liess (vgl. Urteil E-5022/2017 E. 6.1.7).</w:t>
      </w:r>
    </w:p>
    <w:p>
      <w:r>
        <w:rPr>
          <w:b/>
        </w:rPr>
        <w:t>E. 9.1.4</w:t>
      </w:r>
    </w:p>
    <w:p>
      <w:r>
        <w:t>Weitere Gründe für die Annahme der Unzulässigkeit des Wegweisungsvollzugs sind vorliegend nicht erkennbar. Der Wegweisungsvollzug ist somit als zulässig zu betrachten.</w:t>
      </w:r>
    </w:p>
    <w:p>
      <w:r>
        <w:rPr>
          <w:b/>
        </w:rPr>
        <w:t>E. 9.2</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Referenzurteil des BVGer D-2311/2016 vom 17. August 2017 E. 16 f.).</w:t>
      </w:r>
    </w:p>
    <w:p>
      <w:r>
        <w:rPr>
          <w:b/>
        </w:rPr>
        <w:t>E. 9.2.2</w:t>
      </w:r>
    </w:p>
    <w:p>
      <w:r>
        <w:t>Vorliegend sind keine besonderen Umstände ersichtlich, die es als wahrscheinlich erscheinen liessen, der Beschwerdeführer könnte im Falle seiner Rückkehr nach Eritrea in eine existenziell bedrohliche Situation geraten. So handelt es sich beim Beschwerdeführer um einen jungen, gemäss Akten gesunden Mann, der über Schulbildung und Arbeitserfahrung als (...) verfügt (vgl. A3/12 S. 4 F1.17.04.), Voraussetzungen, welche ihm beim Aufbau einer neuen Existenz von Nutzen sein werden. In Anbetracht dessen, dass sich mehrere seiner Verwandten in der Heimat aufhalten (Eltern, Halbgeschwister, Grossmutter, Onkel und Tanten [vgl. A3/12 S. 4/5 F3.01]), darf im Übrigen von einem tragfähigen Beziehungsnetz ausgegangen werden, welches ihn bei der Wiedereingliederung unterstützen kann. Der Vollzug der Wegweisung erweist sich damit auch in persönlicher Hinsicht als zumutbar.</w:t>
      </w:r>
    </w:p>
    <w:p>
      <w:r>
        <w:rPr>
          <w:b/>
        </w:rPr>
        <w:t>E. 9.2.3</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auch kein Grund zur Annahme, sie würden überwiegend wahrscheinlich von solchen Übergriffen betroffen (vgl. E-5022/2017 E. 6.2.3 und 6.2.4). Demnach sei nicht davon auszugehen, dass Nationaldienstleistende bei Rückkehr generell im Sinne von Art. 83 Abs. 4 AuG (Ausländergesetz, gültig bis 31. Dezember 2018, ab 1. Januar 2019 AIG) konkret gefährdet seien. Auch die drohende Einziehung des Beschwerdeführers in den eritreischen Nationaldienst führt somit nicht zur Unzumutbarkeit des Wegweisungsvollzugs.</w:t>
      </w:r>
    </w:p>
    <w:p>
      <w:r>
        <w:rPr>
          <w:b/>
        </w:rPr>
        <w:t>E. 9.2.4</w:t>
      </w:r>
    </w:p>
    <w:p>
      <w:r>
        <w:t>Der Vollständigkeit halber ist darauf hinzuweisen, dass sich seit Einreichung der Beschwerde weitere Verbesserungen ergeben haben; namentlich haben Äthiopien und Eritrea im Juli 2018 ein Friedensabkommen geschlossen (vgl. Neue Zürcher Zeitung, Trotz Friedensabkommen in Eritrea - Asylpraxis bei Eritreern ändert sich vorerst nicht, 11.07.2018). Vor diesem Hintergrund vermag der Beschwerdeführer aus dem Vorbringen in der Beschwerde, wonach die Behauptung, der Grenzkonflikt sei beigelegt und in Eritrea herrsche keine Situation der allgemeinen Gewalt, tatsachenwidrig sei, nichts zu seinen Gunsten abzuleiten.</w:t>
      </w:r>
    </w:p>
    <w:p>
      <w:r>
        <w:rPr>
          <w:b/>
        </w:rPr>
        <w:t>E. 9.2.5</w:t>
      </w:r>
    </w:p>
    <w:p>
      <w:r>
        <w:t>Nach dem Gesagten ist der Vollzug der Wegweisung insgesamt als zumutbar zu erachten.</w:t>
      </w:r>
    </w:p>
    <w:p>
      <w:r>
        <w:rPr>
          <w:b/>
        </w:rPr>
        <w:t>E. 9.3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erachtet. Die Anordnung einer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vom Beschwerdeführer gestellten Begehren erschienen im Zeitpunkt der Beschwerdeeingabe nicht aussichtslos und seine Bedürftigkeit im Sinne von Art. 65 Abs. 1 VwVG ist durch die eingereichte Fürsorgebestätigung vom 5. Mai 2015 erwiesen, weshalb das Gesuch um Gewährung der unentgeltlichen Prozessführung gutzuheissen ist und keine Verfahrenskosten erhoben werden. Das Gesuch um Erlass des Kostenvorschusses wird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