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D-3146/2023 vom 28. April 2023</w:t>
      </w:r>
    </w:p>
    <w:p>
      <w:r>
        <w:t>Bundesverwaltungsgericht, 2023-04-28, DE</w:t>
      </w:r>
    </w:p>
    <w:p>
      <w:r>
        <w:rPr>
          <w:b/>
        </w:rPr>
        <w:t xml:space="preserve">Quelle: </w:t>
      </w:r>
      <w:r>
        <w:t>https://mcp.opencaselaw.ch/entscheid/bvger_D-3146_2023_d20230428</w:t>
      </w:r>
    </w:p>
    <w:p>
      <w:r>
        <w:t>FR: TAF D-3146/2023 du 28 avril 2023</w:t>
      </w:r>
    </w:p>
    <w:p>
      <w:r>
        <w:t>IT: TAF D-3146/2023 del 28 aprile 2023</w:t>
      </w:r>
    </w:p>
    <w:p>
      <w:pPr>
        <w:pStyle w:val="Heading2"/>
      </w:pPr>
      <w:r>
        <w:t>Regeste</w:t>
      </w:r>
    </w:p>
    <w:p>
      <w:r>
        <w:t>Verweigerung vor&amp;uuml;bergehender Schutz | Verweigerung vorübergehender Schutz; Verfügung des SEM vom 28. April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31 VGG beurteilt das Bundesverwaltungsgericht Be- schwerden gegen Verfügungen nach Art. 5 VwVG. Das SEM gehört zu den Behörden nach Art. 33 VGG und ist daher eine Vorinstanz des Bundesver- waltungsgerichts. Eine das Sachgebiet betreffende Ausnahme im Sinn von Art. 32 VGG liegt nicht vor. Das Bundesverwaltungsgericht ist daher zu- ständig für die Beurteilung der vorliegenden Beschwerde und entscheidet auf dem Gebiet des Asyls in der Regel – so auch vorliegend – endgültig (Art. 72 i.V.m. Art. 105 AsylG; Art. 83 Bst. d Ziff. 1 BGG).</w:t>
      </w:r>
    </w:p>
    <w:p>
      <w:r>
        <w:rPr>
          <w:b/>
        </w:rPr>
        <w:t>E. 1.2</w:t>
      </w:r>
    </w:p>
    <w:p>
      <w:r>
        <w:t>Das Verfahren richtet sich nach dem VwVG, dem VGG und dem BGG, soweit das AsylG nichts anderes bestimmt (Art. 37 VGG und Art. 6 AsylG).</w:t>
      </w:r>
    </w:p>
    <w:p>
      <w:r>
        <w:rPr>
          <w:b/>
        </w:rPr>
        <w:t>E. 1.3</w:t>
      </w:r>
    </w:p>
    <w:p>
      <w:r>
        <w:t>Die Beschwerde ist frist- und formgerecht eingereicht worden. Der Be- schwerdeführer hat am Verfahren vor der Vorinstanz teilgenommen, ist durch die angefochtene Verfügung besonders berührt und hat ein schutz- würdiges Interesse an deren Aufhebung beziehungsweise Änderung. Er ist daher zur Einreichung der Beschwerde legitimiert (Art. 105 und Art. 108 Abs. 6 AsylG [vgl. BVGE 2023 VI/1 E. 3.8 f.]; Art. 48 Abs. 1 sowie Art. 52 Abs. 1 VwVG). Auf die Beschwerde ist einzutreten.</w:t>
      </w:r>
    </w:p>
    <w:p>
      <w:r>
        <w:rPr>
          <w:b/>
        </w:rPr>
        <w:t>E. 2</w:t>
      </w:r>
    </w:p>
    <w:p>
      <w:r>
        <w:t>Die Kognition des Bundesverwaltungsgerichts und die zulässigen Rügen richten sich im Asylbereich nach Art. 106 Abs. 1 AsylG, im Bereich des Aus- länderrechts nach Art. 49 VwVG (vgl. BVGE 2014/26 E. 5).</w:t>
      </w:r>
    </w:p>
    <w:p>
      <w:r>
        <w:rPr>
          <w:b/>
        </w:rPr>
        <w:t>E. 3</w:t>
      </w:r>
    </w:p>
    <w:p>
      <w:r>
        <w:t>Über offensichtlich begründete Beschwerden wird in einzelrichterlicher Zu- ständigkeit mit Zustimmung einer zweiten Richterin bzw. eines zweiten Richters entschieden (Art. 111 Bst. e AsylG). Vorliegend handelt es sich, wie nachfolgend aufgezeigt wird, um eine solche, weshalb der Entscheid nur summarisch begründet wird (Art. 111a Abs. 2 AsylG).</w:t>
      </w:r>
    </w:p>
    <w:p>
      <w:r>
        <w:rPr>
          <w:b/>
        </w:rPr>
        <w:t>E. 4.1</w:t>
      </w:r>
    </w:p>
    <w:p>
      <w:r>
        <w:t>Eine Wiedererwägung gestützt auf Art. 58 VwVG ist nur bis zur Ver- nehmlassung möglich. Vorliegend liess sich das SEM bereits am 23. Juni 2023 vernehmen, weshalb eine Wiedererwägung gestützt auf Art. 58 VwVG nicht möglich ist.</w:t>
      </w:r>
    </w:p>
    <w:p>
      <w:r>
        <w:t>D-3146/2023 Seite 5</w:t>
      </w:r>
    </w:p>
    <w:p>
      <w:r>
        <w:rPr>
          <w:b/>
        </w:rPr>
        <w:t>E. 4.2</w:t>
      </w:r>
    </w:p>
    <w:p>
      <w:r>
        <w:t>Die Verfügung des SEM vom 31. Januar 2024 wird jedoch als Antrag auf Rückweisung der Sache an die Vorinstanz zwecks ergänzender Sach- verhaltsfeststellung und erneuten Entscheidung entgegengenommen.</w:t>
      </w:r>
    </w:p>
    <w:p>
      <w:r>
        <w:rPr>
          <w:b/>
        </w:rPr>
        <w:t>E. 4.3</w:t>
      </w:r>
    </w:p>
    <w:p>
      <w:r>
        <w:t>Diesem Antrag, der dem Subeventualbegehren des Beschwerdefüh- rers entspricht, ist stattzugeben.</w:t>
      </w:r>
    </w:p>
    <w:p>
      <w:r>
        <w:rPr>
          <w:b/>
        </w:rPr>
        <w:t>E. 5</w:t>
      </w:r>
    </w:p>
    <w:p>
      <w:r>
        <w:t>Die Beschwerde ist folglich gutzuheissen, soweit die Aufhebung der ange- fochtenen Verfügung beantragt wurde. Die Verfügung des SEM vom 28. April 2023 ist aufzuheben und zur ergänzenden Sachverhaltsermittlung und erneuten Entscheidung an die Vorinstanz zurückzuweisen.</w:t>
      </w:r>
    </w:p>
    <w:p>
      <w:r>
        <w:rPr>
          <w:b/>
        </w:rPr>
        <w:t>E. 6</w:t>
      </w:r>
    </w:p>
    <w:p>
      <w:r>
        <w:t>Bei diesem Ausgang des Verfahrens sind keine Kosten zu erheben (Art. 63 Abs. 1 und 2 VwVG).</w:t>
      </w:r>
    </w:p>
    <w:p>
      <w:r>
        <w:rPr>
          <w:b/>
        </w:rPr>
        <w:t>E. 7.1</w:t>
      </w:r>
    </w:p>
    <w:p>
      <w:r>
        <w:t>Dem seit dem 31. Januar 2024 vertretenen Beschwerdeführer ist an- gesichts seines Obsiegens in Anwendung von Art. 64 VwVG und Art. 7 Abs. 1 des Reglements vom 21. Februar 2008 über die Kosten und Ent- schädigungen vor dem Bundesverwaltungsgericht (VGKE, SR 173.320.2) eine Entschädigung für die ihm notwendigerweise erwachsenen Parteikos- ten zuzusprechen.</w:t>
      </w:r>
    </w:p>
    <w:p>
      <w:r>
        <w:rPr>
          <w:b/>
        </w:rPr>
        <w:t>E. 7.2</w:t>
      </w:r>
    </w:p>
    <w:p>
      <w:r>
        <w:t>Gemäss Art. 64 Abs. 1 VwVG kann die Beschwerdeinstanz der ganz oder teilweise obsiegenden Partei von Amtes wegen oder auf Begehren eine Entschädigung für die ihr erwachsenen notwendigen und verhältnis- mässig hohen Kosten zusprechen (vgl. für die Grundsätze der Bemessung der Parteientschädigung ausserdem Art. 7 ff. des Reglements über die Kosten und Entschädigungen vor dem Bundesverwaltungsgericht vom 21. Februar 2008 [VGKE, SR 173.320.2]). Die Honorarnote vom 31. Januar 2024 ist angemessen. Die von der Vorinstanz zu entrichtende Parteient- schädigung ist folglich auf Fr. 460.– festzusetzen.</w:t>
      </w:r>
    </w:p>
    <w:p>
      <w:r>
        <w:rPr>
          <w:b/>
        </w:rPr>
        <w:t>E. 8</w:t>
      </w:r>
    </w:p>
    <w:p>
      <w:r>
        <w:t>Das Gesuch auf Gewährung der amtlichen Rechtsverbeiständung wird mit vorliegendem Entscheid gegenstandslos. (Dispositiv nächste Seite)</w:t>
      </w:r>
    </w:p>
    <w:p>
      <w:r>
        <w:t>D-3146/2023 Seite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