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D-3142/2011 vom 10. Juni 2011</w:t>
      </w:r>
    </w:p>
    <w:p>
      <w:r>
        <w:t>Bundesverwaltungsgericht, 2011-06-10, DE</w:t>
      </w:r>
    </w:p>
    <w:p>
      <w:r>
        <w:rPr>
          <w:b/>
        </w:rPr>
        <w:t xml:space="preserve">Quelle: </w:t>
      </w:r>
      <w:r>
        <w:t>https://mcp.opencaselaw.ch/entscheid/bvger_D-3142_2011</w:t>
      </w:r>
    </w:p>
    <w:p>
      <w:r>
        <w:t>FR: TAF D-3142/2011 du 10 juin 2011</w:t>
      </w:r>
    </w:p>
    <w:p>
      <w:r>
        <w:t>IT: TAF D-3142/2011 del 10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genaue Datum der Eröffnung der BFM-Verfügung vom 14. April 2011 ist nicht bekannt. Den Akten zufolge wurde die Verfügung der Beschwerdeführerin mit Schreiben vom 27. April 2011 zugesandt. Die Beschwerdeführerin kann sie somit frühestens am 28. April 2011 erhalten haben. Die Rechtsmitteleingabe der Beschwerdeführerin in englischer Sprache ging gemäss Eingangsstempel am 24. Mai 2011 bei der Schweizer Vertretung in Colombo ein. Sie ist demnach rechtzeitig eingereicht worden.</w:t>
      </w:r>
    </w:p>
    <w:p>
      <w:r>
        <w:rPr>
          <w:b/>
        </w:rPr>
        <w:t>E. 1.4</w:t>
      </w:r>
    </w:p>
    <w:p>
      <w:r>
        <w:t>Die Beschwerde ist nicht in einer Amtssprache des Bundes abgefasst. Aus prozessökonomischen Gründen wurde indessen vorliegend auf die Rücküberweisung der englischsprachigen Beschwerde zu Übersetzung in eine Amtssprache verzichtet, da das Rechtsbegehren verständlich und begründet ist und das Bundesverwaltungsgericht praxisgemäss Eingaben wie die vorliegende entgegennimmt, ohne eine Übersetzung zu verlangen. Der Entscheid des Gerichts ergeht in deutscher Sprache (vgl. Art. 33a Abs. 2 VwVG i.V.m.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 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F.a. vorstehend). Ausserdem hat das BFM den Verzicht auf eine Befragung begründet (vgl. BVGE 2007/30 E. 5.6 - E. 5.7).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Die Vorbringen in der Rechtsmitteleingabe vom 24. Mai 2011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Beschwerdeführerin vermögen jedoch die nachvollziehbaren Erwägungen des BFM nicht umzustossen. Für das Bundesverwaltungsgericht besteht nach Überprüfung der Akten keine Veranlassung, die Erwägungen des Bundesamtes zu beanstanden. Um Wiederholungen zu vermeiden, kann daher auf die zutreffenden Ausführungen in der angefochtenen Verfügung verwiesen werden. Nach dem Gesagten droht der Beschwerdeführerin keine asylrelevante Verfolgung im Sinne von Art. 3 AsylG.</w:t>
      </w:r>
    </w:p>
    <w:p>
      <w:r>
        <w:rPr>
          <w:b/>
        </w:rPr>
        <w:t>E. 5.2</w:t>
      </w:r>
    </w:p>
    <w:p>
      <w:r>
        <w:t>Aufgrund der vorstehenden Erwägungen erübrigt es sich, auf die weiteren Ausführungen in der Eingabe der Beschwerdeführerin sowie die eingereichten Beweismittel im Einzelnen einzugehen, da sie am Ergebnis der vorgenommenen Würdigung nichts zu ändern vermögen. Es ist der Beschwerdeführerin nicht gelungen, eine Verfolgung im Sinne von Art. 3 AsylG nachzuweisen oder zumindest glaubhaft zu machen. Die Schutzbedürftigkeit der Beschwerdeführerin im Sinne von Art. 20 i.V.m. Art. 3 AsylG ist mithin als nicht gegeben zu qualifizieren, und es liegen auch keine anderen Gründe vor, welche die Erteilung einer Einreisebewilligung indizieren würden.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der Beschwerdeführerin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