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D-3140/2011 vom 20. April 2012</w:t>
      </w:r>
    </w:p>
    <w:p>
      <w:r>
        <w:t>Bundesverwaltungsgericht, 2012-04-20, DE</w:t>
      </w:r>
    </w:p>
    <w:p>
      <w:r>
        <w:rPr>
          <w:b/>
        </w:rPr>
        <w:t xml:space="preserve">Quelle: </w:t>
      </w:r>
      <w:r>
        <w:t>https://mcp.opencaselaw.ch/entscheid/bvger_D-3140_2011</w:t>
      </w:r>
    </w:p>
    <w:p>
      <w:r>
        <w:t>FR: TAF D-3140/2011 du 20 avril 2012</w:t>
      </w:r>
    </w:p>
    <w:p>
      <w:r>
        <w:t>IT: TAF D-3140/2011 del 20 aprile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vorliegend nicht zutrifft - bei Vorliegen eines Auslieferungsgesuches des Staates, vor welchem die beschwerdeführende Person Schutz sucht (Art. 105 des Asylgesetzes vom 26. Juni 1998 [AsylG, SR 142.31]; Art. 83 Bst. c Ziff. 1 und Bst. d Ziff. 1 des Bundesgerichtsgesetzes vom 17. Juni 2005 [BGG, SR 173.110]).</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1 AsylG; Art. 105 AsylG i.V.m. Art. 37 VGG und Art. 52 Abs. 1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Sachver­halts, wenn ihm nicht zugemutet werden kann, im Wohnsitz- oder Aufent­haltsstaat zu bleiben oder in ein anderes Land auszureisen.</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BVGE 2011/10 E. 3.3 S. 126).</w:t>
      </w:r>
    </w:p>
    <w:p>
      <w:r>
        <w:rPr>
          <w:b/>
        </w:rPr>
        <w:t>E. 5.1</w:t>
      </w:r>
    </w:p>
    <w:p>
      <w:r>
        <w:t>Der Beschwerdeführer begründete sein Asylgesuch zunächst damit, er fürchte sich aufgrund seiner früheren Inhaftierung unter dem Verdacht, die LTTE unterstützt zu haben, davor, erneut behördlich festgenommen zu werden. Diesbezüglich ist festzuhalten, dass der Beschwerdeführer nach eigenem Bekunden seit seiner letzten Inhaftierung im August 1998 und der etwa einen Monat später auf gerichtliche Anordnung hin erfolgten Freilassung nie mehr behördlich festgenommen worden ist, weshalb aus heutiger Sicht keine Veranlassung besteht, dass er aktuell eine politisch indizierte Verhaftung durch die heimatlichen Behörden zu gewärtigen hätte. Dieser Einschätzung entspricht im Übrigen auch die Annahme, dass die sri-lankischen Behörden nach der militärischen Zerschlagung der LTTE im Mai 2009 primär ein Interesse daran haben dürften, ehemalige Führungspersonen und Kämpfer zu überführen, um mit deren Hilfe möglichst umfassende Kenntnisse über die Organisation und die Kommandostrukturen der LTTE zu erlangen und dergestalt geeignete Massnahmen treffen zu können, um ein allmähliches Wiedererstarken dieser Organisation zu verhindern.</w:t>
      </w:r>
    </w:p>
    <w:p>
      <w:r>
        <w:rPr>
          <w:b/>
        </w:rPr>
        <w:t>E. 5.2</w:t>
      </w:r>
    </w:p>
    <w:p>
      <w:r>
        <w:t>Der Beschwerdeführer machte sodann geltend, er sei in der Vergangenheit wiederhole Male von unbekannter Seite telefonisch bedroht worden. Ausserdem sei er einmal von Unbekannten angegriffen und dabei verletzt worden. In diesem Zusammenhang ist vorab festzuhalten, dass letztlich sowohl die Urheberschaft als auch die Gründe für die telefonischen Belästigungen des Beschwerdeführers sowie den tätlichen Angriff auf seine Person im Dunkeln liegen, weshalb im vorliegenden Fall keine asylbeachtliche Verfolgungsmotivation ersichtlich ist, zumal der Beschwerdeführer nie geltend gemacht hat, politisch tätig gewesen zu sein beziehungsweise die LTTE unterstützt zu haben. Ganz abgesehen davon spricht im Ergebnis auch die Tatsache, dass er bis heute seinen Wohnsitz an der (...) (c/o D._______) beibehalten zu haben scheint (vgl. Absender der Beschwerde vom 8. Mai 2011), wo er bereits im Zeitpunkt seines am 23. September 2009 gestellten schriftlichen Asylgesuchs gelebt hat (vgl. dortiger Absender), gegen eine ernstliche beziehungsweise akute Bedrohungslage.</w:t>
      </w:r>
    </w:p>
    <w:p>
      <w:r>
        <w:rPr>
          <w:b/>
        </w:rPr>
        <w:t>E. 5.3</w:t>
      </w:r>
    </w:p>
    <w:p>
      <w:r>
        <w:t>Soweit der Beschwerdeführer auf seine generelle Sorge um die Sicherheit und Zukunft seiner Familie hinweist, spricht er Sachumstände an, welche im Rahmen eines ordentlichen Asylverfahrens in der Schweiz allenfalls unter dem Gesichtspunkt der Zumutbarkeit des Wegweisungsvollzugs zu prüfen wären (vgl. EMARK 2003 Nr. 24 E. 5a, 5b und 5e S. 157 ff.). Die schweizerische Gesetzgebung sieht indessen gerade nicht vor, dass Asylsuchenden, die ihr Gesuch im Ausland stellen, unabhängig von einer Gefährdung im Sinne von Art. 3 AsylG - und damit der Aussicht auf Asylgewährung in der Schweiz - die Einreise schon deshalb zu bewilligen ist, weil sie im Heimat- oder Herkunftsstaat wegen Krieg, Bürgerkrieg, allgemeiner Gewalt oder einer medizinischen oder wirtschaftlichen Notlage konkret gefährdet sind.</w:t>
      </w:r>
    </w:p>
    <w:p>
      <w:r>
        <w:rPr>
          <w:b/>
        </w:rPr>
        <w:t>E. 5.4</w:t>
      </w:r>
    </w:p>
    <w:p>
      <w:r>
        <w:t>Zusammenfassend ist festzuhalten, dass es dem Beschwerdeführer nicht gelungen ist, eine Verfolgung im Sinne von Art. 3 AsylG glaubhaft zu machen. Das BFM hat dem Beschwerdeführer daher zu Recht die Einreise in die Schweiz verweigert und das Asylgesuch abge­lehnt.</w:t>
      </w:r>
    </w:p>
    <w:p>
      <w:r>
        <w:rPr>
          <w:b/>
        </w:rPr>
        <w:t>E. 6</w:t>
      </w:r>
    </w:p>
    <w:p>
      <w:r>
        <w:t>Aus diesen Erwägungen ergibt sich, dass die angefochtene Verfügung Bundesrecht nicht verletzt, den rechtserheblichen Sachverhalt im Ergeb­nis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