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D-3139/2024 vom 13. Mai 2024</w:t>
      </w:r>
    </w:p>
    <w:p>
      <w:r>
        <w:t>Bundesverwaltungsgericht, 2024-05-13, DE</w:t>
      </w:r>
    </w:p>
    <w:p>
      <w:r>
        <w:rPr>
          <w:b/>
        </w:rPr>
        <w:t xml:space="preserve">Quelle: </w:t>
      </w:r>
      <w:r>
        <w:t>https://mcp.opencaselaw.ch/entscheid/bvger_D-3139_2024_d20240513</w:t>
      </w:r>
    </w:p>
    <w:p>
      <w:r>
        <w:t>FR: TAF D-3139/2024 du 13 mai 2024</w:t>
      </w:r>
    </w:p>
    <w:p>
      <w:r>
        <w:t>IT: TAF D-3139/2024 del 13 maggio 2024</w:t>
      </w:r>
    </w:p>
    <w:p>
      <w:pPr>
        <w:pStyle w:val="Heading2"/>
      </w:pPr>
      <w:r>
        <w:t>Regeste</w:t>
      </w:r>
    </w:p>
    <w:p>
      <w:r>
        <w:t>Asyl und Wegweisung (beschleunigtes Verfahren) | Asyl und Wegweisung (beschleunigtes Verfahren); Verfügung des SEM vom 13.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D-3139/2024 Seite 7 Eine solche Ausnahme liegt nicht vor, weshalb das Bundesverwaltungsge- 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Der Kostenvor- schuss wurde fristgerecht bezahlt.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Mit dem Vorwurf des Beschwerdeführers, das SEM habe seine Aussa- gen fehlerhaft protokolliert und ihm zu wenig Gelegenheit geboten, seine Fluchtgründe darzulegen, wird sinngemäss eine Verletzung des Anspruchs auf rechtliches Gehör gerügt.</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w:t>
      </w:r>
    </w:p>
    <w:p>
      <w:r>
        <w:rPr>
          <w:b/>
        </w:rPr>
        <w:t>E. 3.3</w:t>
      </w:r>
    </w:p>
    <w:p>
      <w:r>
        <w:t>In den Akten insbesondere dem Protokoll der Anhörung sind keine An- haltspunkte ersichtlich, dass dem Beschwerdeführer zu wenig Möglichkeit geboten wurde, seinen Standpunkt und seine Fluchtgründe hinreichend darzutun. Auch ergeben sich keine Hinweise darauf, die Aussagen seien wie behauptet nicht korrekt protokolliert worden. Der Beschwerdeführer bleibt in diesem Vorwurf denn auch äusserst vage und es hätte an der Rechtsvertretung gelegen, allfällige Unregelmässigkeiten zu melden. Dass diese derart eingeschüchtert gewesen sei, dass sie sich dazu nicht getraut habe, überzeugt jedenfalls nicht. Die Rüge verfängt folglich nicht.</w:t>
      </w:r>
    </w:p>
    <w:p>
      <w:r>
        <w:t>D-3139/2024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materieller Hinsicht hat das SEM die Asylrelevanz des Vorfalls, an welchem Behördenmitglieder den Beschwerdeführer im Laden aufgesucht hätten, mangels Intensität zu Recht verneint. Ebenfalls nicht asylrelevant sind die Vorkommnisse während der Ausgangssperre im Jahre 2015, da diese nicht kausal für die Ausreise gewesen sind und daher keine Aktualität besitzen.</w:t>
      </w:r>
    </w:p>
    <w:p>
      <w:r>
        <w:rPr>
          <w:b/>
        </w:rPr>
        <w:t>E. 5.2</w:t>
      </w:r>
    </w:p>
    <w:p>
      <w:r>
        <w:t>Aus den laufenden Strafverfahren ergibt sich ebenfalls keine asylrele- vante Gefährdung. Dabei kann auf die aktuelle Praxis betreffend staatsan- waltschaftliche Ermittlungsverfahren verwiesen werde, die für sich alleine nicht zur Bejahung der Flüchtlingseigenschaft ausreichen. Vielmehr würde dies zusätzliche Risikofaktoren wie etwa das Vorliegen einschlägiger Vor- strafen oder ein exponiertes politisches Profil voraussetzen (vgl. Referenz- urteil des BVGer E-4103/2024 vom 8. November 2024 E. 8). Diese Praxis lässt sich grundsätzlich auch auf Sachverhalte anwenden, in welchen die entsprechenden Strafverfahren bereits weiter vorgeschritten sind und – so wie hier – Anklage erhoben worden ist. Allerdings gilt es dabei, das Vorlie- gen der Anklage als schärfendes Element zu berücksichtigen.</w:t>
      </w:r>
    </w:p>
    <w:p>
      <w:r>
        <w:rPr>
          <w:b/>
        </w:rPr>
        <w:t>E. 5.3</w:t>
      </w:r>
    </w:p>
    <w:p>
      <w:r>
        <w:t>Der Beschwerdeführer ist nicht vorbestraft. Soweit aus den Akten er- sichtlich, ist respektive war er nicht in exponierter Weise politisch tätig,</w:t>
      </w:r>
    </w:p>
    <w:p>
      <w:r>
        <w:t>D-3139/2024 Seite 9 zumal er in der Anhörung keine eigenen politischen Aktivitäten geltend ge- macht hat (vgl. SEM-act. […]17/15 F116). Allerdings würden gemäss seinen Angaben seine Verwandten Verbindun- gen zur PKK aufweisen oder seien in anderer Weise politisch aktiv gewe- sen. Gemäss Anhörung sei einer seiner Onkel (E._______) ein Wegge- fährte einer Persönlichkeit innerhalb der PKK, die in den 90er Jahren ge- tötet worden sei (vgl. ebd. F101). Dieser Onkel sei im Jahre (…) ebenfalls getötet worden (vgl. ebd. F73). Ein weiterer Onkel (F._______) lebe in der Schweiz. Sein Onkel G._______ sei Gemeindepräsident gewesen und lebe jetzt in H._______. Sein Cousin I._______ habe Kurdisch unterrichtet und lebe jetzt ebenfalls in H._______. Einem Onkel seines Vaters (J._______) sei eine Mitgliedschaft in der PKK vorgeworfen worden, ob- wohl er bloss Lehrer und Vereinspräsident gewesen sei. Zwei weitere Ver- wandte (K._______ und L._______) seien Lehrer respektive Vizepräsident der Gemeinde gewesen (vgl. ebd. F104 bis F114). Sein Vater sei, nachdem sein Onkel E._______ in den 90er Jahren nicht habe gefasst werden kön- nen, verhaftet und gefoltert worden (vgl. ebd. F116). Gemäss ergänzender Eingabe vom 5. Juni 2024 seien sechs Cousins und eine Cousine getötet worden, wobei deren Verbindung zur PKK nicht weiter beschrieben worden ist und somit unklar bleibt. Ein weiterer Cousin (M._______) sei getötet worden, nachdem er sich geweigert habe, mit den Behörden zu kooperie- ren. Zudem erwähnte der Beschwerdeführer seinen Mitbewohner während des Studiums, der einen Bruder bei den Guerillas (gemeint wohl der PKK) gehabt habe (vgl. ebd. F73). Zu diesen Verbindungen ist jedoch zu bemer- ken, dass die genauen Tätigkeiten respektive Profile der Familienmitglie- der respektive Freunde unklar bleiben und gewisse Zweifel an der politi- schen Verfolgung dieser Personen angebracht sind. So weist das SEM zu- treffend darauf hin, dass sich aus dem Zeitungsbericht zum Tod des Cous- ins M._______ nicht ergibt, dass der Tod einen politischen Hintergrund hätte. Weit zentraler erscheint jedoch, dass die PKK-Verbindungen bis in die 90er Jahre zurückgehen, ohne dass sich daraus für den Beschwerde- führer bisher ernsthafte Konsequenzen ergeben hätten. Eine markante Ak- zentuierung des Profils ergibt sich daraus folglich nicht. Gleiches gilt für die widrigen Bedingungen während der Ausgangssperre im Jahre 2015 respektive die dabei allgemein gegen die Bevölkerung von B._______ gerichteten behördlichen Massnahmen, zumal der Beschwer- deführer nicht geltend machte, er sei dabei gezielt in den Fokus der Behör- den gelangt.</w:t>
      </w:r>
    </w:p>
    <w:p>
      <w:r>
        <w:t>D-3139/2024 Seite 10 Ebenfalls nur geringfügig geschärft wird sein Profil durch den Umstand der einmaligen Kontaktaufnahme durch Beamte im Jahre 2022, als er nach seinem Mitbewohner gefragt und zum Sitzstreik aufgefordert worden ist, wobei die Glaubhaftigkeit dieses Vorbringens offenbleiben kann.</w:t>
      </w:r>
    </w:p>
    <w:p>
      <w:r>
        <w:rPr>
          <w:b/>
        </w:rPr>
        <w:t>E. 5.4</w:t>
      </w:r>
    </w:p>
    <w:p>
      <w:r>
        <w:t>In Gesamtschau dieser Elemente ist zwar zu bemerken, dass sich aus der Anklageerhebung im Verfahren betreffend Präsidentenbeleidigung, der Existenz weiterer Ermittlungsverfahren, den (familiären) Verbindungen des Beschwerdeführers wie auch aus der einmaligen Kontaktaufnahme durch die Behörden eine gewisse Gefährdung ergibt. In Anbetracht dessen, dass der Beschwerdeführer nicht vorbestraft ist und auch sonst – soweit ersicht- lich – bisher keinen ernsthaften behördlichen Massnahmen ausgesetzt ge- wesen war, ist nicht von einer asylrelevanten Verfolgungsgefahr auszuge- hen.</w:t>
      </w:r>
    </w:p>
    <w:p>
      <w:r>
        <w:rPr>
          <w:b/>
        </w:rPr>
        <w:t>E. 5.5</w:t>
      </w:r>
    </w:p>
    <w:p>
      <w:r>
        <w:t>Das SEM hat folglich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D-3139/2024 Seite 11</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w:t>
      </w:r>
    </w:p>
    <w:p>
      <w:r>
        <w:t>D-3139/2024 Seite 12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7.2.7</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7.2.8</w:t>
      </w:r>
    </w:p>
    <w:p>
      <w:r>
        <w:t>Das SEM erachtet den Vollzug der Wegweisung zu Recht für zumut- bar. Diesbezüglich ist allerdings zu bemerken, dass der Vollzug in die Pro- vinz B._______ nach aktueller Praxis nicht mehr generell unzumutbar, son- dern vielmehr im Einzelfall individuell zu prüfen ist (vgl. Referenzurteil des BVGer E-4103/2024 vom 8. November 2024 E. 13.4). Unter Hinweis auf die vom SEM dargelegte individuelle Situation des Beschwerdeführers sind keine Gründe ersichtlich, dass er bei einer Rückkehr in eine existenzielle Notlage geraten könnte. Zu den medizinischen Leiden ist zu bemerken, dass die Türkei grundsätzlich über ein funktionierendes Gesundheitssys- tem verfügt, das insbesondere in grösseren Städten dem europäischen Standard entspricht (vgl. Urteil BVGer D-1554/2022 vom 29. Juli 2022 E. 9.3.4 m.w.H.).</w:t>
      </w:r>
    </w:p>
    <w:p>
      <w:r>
        <w:rPr>
          <w:b/>
        </w:rPr>
        <w:t>E. 7.2.9</w:t>
      </w:r>
    </w:p>
    <w:p>
      <w:r>
        <w:t>Nach dem Gesagten erweist sich der Vollzug der Wegweisung auch als zumutbar.</w:t>
      </w:r>
    </w:p>
    <w:p>
      <w:r>
        <w:rPr>
          <w:b/>
        </w:rPr>
        <w:t>E. 7.3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w:t>
      </w:r>
    </w:p>
    <w:p>
      <w:r>
        <w:t>D-3139/2024 Seite 13 sowie vollständig feststellt (Art. 106 Abs. 1 AsylG und Art. 49 VwVG) und – soweit diesbezüglich überprüfbar – angemessen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Für deren Begleichung ist der bereits in gleicher Höhe ge- leistete Kostenvorschuss zu verwenden.</w:t>
      </w:r>
    </w:p>
    <w:p>
      <w:r>
        <w:t>(Dispositiv nächste Seite)</w:t>
      </w:r>
    </w:p>
    <w:p>
      <w:r>
        <w:t>D-3139/2024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