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D-3137/2017 vom 12. Juli 2017</w:t>
      </w:r>
    </w:p>
    <w:p>
      <w:r>
        <w:t>Bundesverwaltungsgericht, 2017-07-12, DE</w:t>
      </w:r>
    </w:p>
    <w:p>
      <w:r>
        <w:rPr>
          <w:b/>
        </w:rPr>
        <w:t xml:space="preserve">Quelle: </w:t>
      </w:r>
      <w:r>
        <w:t>https://mcp.opencaselaw.ch/entscheid/bvger_D-3137_2017</w:t>
      </w:r>
    </w:p>
    <w:p>
      <w:r>
        <w:t>FR: TAF D-3137/2017 du 12 juillet 2017</w:t>
      </w:r>
    </w:p>
    <w:p>
      <w:r>
        <w:t>IT: TAF D-3137/2017 del 12 luglio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(Art. 108 Abs. 2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der Kostenvorschuss innert angesetzter Frist geleistet wurde,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 zu Begründung seiner Verfügung im Kern aus, Indien gelte seit dem Beschluss des Bundesrates vom 18. März 1991 als verfolgungssicherer Staat (safe country) im Sinne von Art. 6a Abs. 2 Bst. a AsylG, weshalb die gesetzliche Regelvermutung gelte, dass in Indien Sicherheit vor Verfolgung bestehe. Bei den Problemen mit der Familie seiner Frau handle es sich um innerfamiliäre Streitigkeiten, welche asylrechtlich nicht relevant seien. Auch die Einmischung eines gemäss den Aussagen des Beschwerdeführers einflussreichen Politikers ändere daran nichts. Er hätte sowohl in Indien wie in Katar die Möglichkeit gehabt, die Übergriffe und Drohanrufe durch den Politiker und die Familie seiner Frau bei den jeweiligen Behörden zur Anzeige zu bringen. Demzufolge erfülle er die Flüchtlingseigenschaft nicht. Der Grundsatz der Nichtrückschiebung gemäss Art. 5 Abs. 1 AsylG könne deshalb nicht angewandt werden und es würden sich aus den Akten auch keine Anhaltspunkte dafür ergeben, dass ihm im Falle der Rückkehr in den Heimatstaat mit beachtlicher Wahrscheinlichkeit eine durch Art. 3 EMRK verbotene Strafe oder Behandlung drohe. Die Rückkehr in den Heimatstaat sei auch zumutbar. Es herrsche in Indien kein Krieg, Bürgerkrieg oder eine Situation allgemeiner Gewalt und es seien auch keine individuellen Wegweisungshindernisse ersichtlich. Der Vollzug der Wegweisung sei technisch möglich und praktisch durchführbar.</w:t>
      </w:r>
    </w:p>
    <w:p>
      <w:r>
        <w:rPr>
          <w:b/>
        </w:rPr>
        <w:t>E. 5.2</w:t>
      </w:r>
    </w:p>
    <w:p>
      <w:r>
        <w:t>In der Beschwerde wird geltend gemacht, der einflussreiche Politiker und Freund des Bruders der Schwester habe einen Onkel, der Minister sei, was er mit Fotos beweise, und Politiker könnten in Indien die Polizei bei den Untersuchungen stoppen, weshalb diese ihm nicht helfen könne.</w:t>
      </w:r>
    </w:p>
    <w:p>
      <w:r>
        <w:rPr>
          <w:b/>
        </w:rPr>
        <w:t>E. 5.3</w:t>
      </w:r>
    </w:p>
    <w:p>
      <w:r>
        <w:t>Dieser Einwand vermag an der Einschätzung des SEM, wonach die geltend gemachten innerfamiliäre Streitigkeiten asylrechtlich nicht relevant seien, nichts zu ändern. Unabhängig von der Glaubhaftigkeit der Vorbringen - das SEM bemerkt dazu in der angefochtenen Verfügung, es würden nicht unbedeutende Zweifel an der Glaubhaftigkeit der Vorbringen bestehen, da der Beschwerdeführer nicht in der Lage gewesen sei, die Geschehnisse zu konkretisieren oder plausibel und widerspruchsfrei wiederzugeben - hat das SEM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Indien ist demnach unter dem Aspekt von Art. 5 AsylG rechtmässig.</w:t>
      </w:r>
    </w:p>
    <w:p>
      <w:r>
        <w:rPr>
          <w:b/>
        </w:rPr>
        <w:t>E. 7.2.4</w:t>
      </w:r>
    </w:p>
    <w:p>
      <w:r>
        <w:t>Sodann ergeben sich weder aus den Aussagen des Beschwerdeführers noch aus den Akten Anhaltspunkte dafür, dass er für den Fall einer Rückkehr nach Indien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dem Beschwerdeführer nicht. Anlässlich der Anhörung hat er erklärt, er habe bei der Polizei keine Anzeige erstattet, weshalb es sich beim Einwand, diese könne ihm keinen Schutz bieten, um eine blosse Behauptung handelt. Gemäss seinen Angaben in der BzP hat er bis anhin auch nie Probleme mit den indischen Behörden gehabt, so dass kein Grund zur Annahme besteht, diese werde ihm - falls erforderlich - den notwendigen Schutz nicht zuteilwerden lassen. Schliesslich lässt auch die allgemeine Menschenrechtssituation in Indien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Aus den Akten ist nicht ersichtlich, weshalb der Beschwerdeführer im Falle der Rückkehr nach Indien aufgrund der dort herrschenden Situation oder aus individuellen Gründen wirtschaftlicher, sozialer oder gesundheitlicher Natur in eine existenzbedrohende Situation geraten könnte. Es kann diesbezüglich vollumfänglich auf die Erwägungen in der angefochtenen Verfügung verwiesen werden. Das SEM weist zutreffend darauf hin, dass der Beschwerdeführer seine Angstzustände und Depressionen in Indien behandeln lassen könne, falls er inskünftig medizinische Behandlung oder Medikamente benötige. Es hält zudem zu Recht fest, der Beschwerdeführer verfügte über eine ausgezeichnete Ausbildung, über Arbeitserfahrung in verschiedenen Bereichen und mit seiner Familie und seinen Freunden auch über ein umfassendes soziales Beziehungsnetz. Sein Vater besitze ein Haus, der Beschwerdeführer selber ein Grundstück. Er sei somit finanziell gut gestellt und er könne im Bedarfsfall auch auf die Unterstützung seiner Schwester und weiterer Verwandter zählen, die in C._______ und in D._______ lebten. Es stehe ihm auch frei, nach Katar zurückzukehren, wo er über eine gültige Aufenthaltsbewilligung und eine ungekündigte Arbeitsstelle verfüge. Der Vollzug der Wegweisung erweist sich vor diesem Hintergrund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nicht als unmöglich zu bezeichnen ist (Art. 83 Abs. 2 AuG).</w:t>
      </w:r>
    </w:p>
    <w:p>
      <w:r>
        <w:rPr>
          <w:b/>
        </w:rPr>
        <w:t>E. 7.5</w:t>
      </w:r>
    </w:p>
    <w:p>
      <w:r>
        <w:t>Zusammenfassend ergibt sich, dass das SEM den Wegweisungsvollzug zu Recht als zulässig, zumutbar und möglich bezeichnet hat.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dessen Kosten in der Höhe von Fr. 750.- dem Beschwerdeführer aufzuerlegen (vgl. Art. 63 Abs. 1 VwVG sowie Art. 1-3 des Reglements vom 21. Februar 2008 über die Kosten und Entschädigungen vor dem Bundesverwaltungsgericht [VGKE, SR 173.320.2]). Der in gleicher Höhe am 3. Juli 2017 einbezahlte Kosten-vorschuss wird zur Deckung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