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D-3133/2014 vom 18. Dezember 2014</w:t>
      </w:r>
    </w:p>
    <w:p>
      <w:r>
        <w:t>Bundesverwaltungsgericht, 2014-12-18, DE</w:t>
      </w:r>
    </w:p>
    <w:p>
      <w:r>
        <w:rPr>
          <w:b/>
        </w:rPr>
        <w:t xml:space="preserve">Quelle: </w:t>
      </w:r>
      <w:r>
        <w:t>https://mcp.opencaselaw.ch/entscheid/bvger_D-3133_2014</w:t>
      </w:r>
    </w:p>
    <w:p>
      <w:r>
        <w:t>FR: TAF D-3133/2014 du 18 décembre 2014</w:t>
      </w:r>
    </w:p>
    <w:p>
      <w:r>
        <w:t>IT: TAF D-3133/2014 del 18 dicembre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Die Beschwerdeführerinnen beantragen keine Vereinigung ihres Beschwerdeverfahrens mit demjenigen ihres Partners beziehungsweise Vaters (D-3165/2014) und eine solche erscheint auch nicht angezeigt. Die Beschwerdeverfahren sind indessen koordiniert zu behandeln.</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Auf Beschwerdeebene wird den Ausführungen in der angefochtenen Verfügung entgegengehalten, das BFM lasse das (junge) Alter und die Unerfahrenheit der Beschwerdeführerin zu Unrecht unberücksichtigt. Aus den Akten, insbesondere der Anhörung vom 12. Januar 2010, sei ersichtlich, dass sie suggestiv und unfreundlich angesprochen und befragt worden sei. Die Beschwerdeführerin sei über ihre (verstorbene: Anmerkung des Gerichts) Mutter eingehender befragt worden als über ihre erlittenen frauenspezifischen Nachteile im Zusammenhang mit der Vergewaltigung. Erst anlässlich der dritten (recte: zweiten) Anhörung und fast drei Jahre nach diesem Ereignis sei sie dann ausführlich dazu befragt worden und dann werde erwartet, dass die Fragen lückenlos beantwortet würden. Es sei niemandem möglich, einen Sachverhalt bei Wiederholungen und Jahre nach einem Erlebnis genau gleich zu erzählen. Hinzu komme, dass die Angaben der Beschwerdeführerin sehr wohl übereinstimmend und plausibel seien. Sie habe überdies nachvollziehbar erklärt, dass bei der ersten Anhörung (gemeint wohl der Befragung zur Person) nur Männer anwesend gewesen seien und sie sich geschämt habe, über die Vergewaltigung zu sprechen. Weiter macht die Beschwerdeführerin geltend, aufgrund der Tatsache, dass sie seit ihrer Einreise wegen frauenspezifischer Probleme zu medizinischen Untersuchungen zur Frauenklinik geschickt und dort während Jahren behandelt worden sei, bestünden genügend Indizien, dass man von einer Vergewaltigung ausgehe. Da der Beschwerdeführerin bei der Vergewaltigung der Mund und die Augen verbunden gewesen seien, habe sie weder um Hilfe schreien, noch die Täter später identifizieren können. Sie reagiere immer noch emotional, wenn sie darüber spreche. Zudem sei ihre Vermutung plausibel und nachvollziehbar, dass ihre Vergewaltiger Angehörige der regierenden Behörden gewesen seien, weil sie gerade während der Inhaftierung ihres Vaters bekannterweise auf sich allein gestellt gewesen sei. Die Beschwerdeführerin verweist weiter auf ihr ethnische Zugehörigkeit und die allgemein bekannten, damit in Zusammenhang stehenden Benachteiligungen in Äthiopien. Schliesslich kritisiert sie die lange Dauer des erstinstanzlichen Asylverfahrens.</w:t>
      </w:r>
    </w:p>
    <w:p>
      <w:r>
        <w:rPr>
          <w:b/>
        </w:rPr>
        <w:t>E. 6.2.1</w:t>
      </w:r>
    </w:p>
    <w:p>
      <w:r>
        <w:t>Der Beschwerdeführerin ist zwar darin zuzustimmen, dass in die Beurteilung der Glaubhaftigkeit von Vorbringen auch relevante individuelle Aspekte der asylsuchenden Person einbezogen werden müssen (vgl. statt vieler etwa Urteil des BVGer D-5429/2014 vom 31. Oktober 2014 E. 3.2.2). Entsprechend sind bei der Anwendung des Beweismasses gewisse persönliche Umstände der asylsuchenden Person zu berücksichtigen. Solche persönliche Umstände können etwa in einem tiefen Bildungsniveau, geringen intellektuellen Fähigkeiten, dem Alter oder psychischen Problemen gesehen werden. Das Bundesverwaltungsgericht sieht indessen keine Anhaltspunkte dafür, dass die Vorinstanz den konkreten Umständen bei der Beurteilung der Glaubhaftigkeit der Asylvorbringen zu wenig Rechnung getragen hätte. Die Beschwerdeführerin war im Zeitpunkt ihrer Befragung zur Person (...)jährig, im Zeitpunkt der ersten Anhörung beinahe (...)jährig und bei der zweiten Anhörung mehr als (...)jährig. Von einer asylsuchenden Person dieses Alters kann ohne weiteres eine detailreiche und realitätsnahe Schilderung von selbst Erlebtem erwartet werden. Dass die Vorinstanz diesbezüglich überhöhte Anforderungen gestellt hätte, ist nicht ersichtlich.</w:t>
      </w:r>
    </w:p>
    <w:p>
      <w:r>
        <w:rPr>
          <w:b/>
        </w:rPr>
        <w:t>E. 6.2.2</w:t>
      </w:r>
    </w:p>
    <w:p>
      <w:r>
        <w:t>Das Bundesamt hat in seinen Erwägungen sodann (zutreffend) erwähnt, dass die Beschwerdeführerin die Vergewaltigung an der BzP mit keinem Wort erwähnt hatte. Dass das BFM diesem Umstand ein massgebliches Gewicht bei der Beurteilung der Glaubhaftigkeit zugemessen hätte, lässt sich indessen nicht erkennen. Es kann deshalb offen bleiben, ob die unterlassene Erwähnung der Vergewaltigung als nachvollziehbar erscheint oder nicht.</w:t>
      </w:r>
    </w:p>
    <w:p>
      <w:r>
        <w:rPr>
          <w:b/>
        </w:rPr>
        <w:t>E. 6.2.3</w:t>
      </w:r>
    </w:p>
    <w:p>
      <w:r>
        <w:t>Festzuhalten gilt es sodann, dass - entgegen der auf Beschwerdeebene erhobenen Kritik - bei derart einschneidenden Erlebnissen wie einer Vergewaltigung auch nach einer gewissen Zeit noch übereinstimmende Angaben zum Kerngeschehen erwartet werden können. Dazu gehört etwa die Schilderung, ob die Beschwerdeführerin mit einem Tuch oder mit der Hand über den Mund am Schreien gehindert worden sein soll. Auch konkrete Angaben zum Zeitpunkt der behaupteten Tat können erwartet werden. Nichts zu ihren Gunsten kann die Beschwerdeführerin sodann aus der behaupteten medizinischen Behandlung wegen frauenspezifischer Probleme ableiten. Zunächst fehlen diesbezüglich jegliche ärztliche Unterlagen. Zudem lassen frauenspezifische medizinische Probleme nicht per se auf eine Vergewaltigung schliessen, umso weniger, als diese Probleme weder vor der Vorinstanz noch auf Beschwerdeebene konkretisiert wurden.</w:t>
      </w:r>
    </w:p>
    <w:p>
      <w:r>
        <w:rPr>
          <w:b/>
        </w:rPr>
        <w:t>E. 6.2.4</w:t>
      </w:r>
    </w:p>
    <w:p>
      <w:r>
        <w:t>Die Erwägungen des BFM bezüglich der geltend gemachten exilpolitischen Betätigung der Beschwerdeführerin erachtet das Gericht als zutreffend; sie sind zu bestätigen. Da die Beschwerdeführerin diesbezüglich auf Beschwerdeebene nichts vorbringt, erübrigt es sich, weitergehende Erörterungen anzustellen.</w:t>
      </w:r>
    </w:p>
    <w:p>
      <w:r>
        <w:rPr>
          <w:b/>
        </w:rPr>
        <w:t>E. 6.2.5</w:t>
      </w:r>
    </w:p>
    <w:p>
      <w:r>
        <w:t>Zusammenfassend ist festzuhalten, dass das BFM zu Recht die Flüchtlingseigenschaft der Beschwerdeführerinnen verneint und ihre Asylgesuche abgewiesen hat. Daran vermögen weder die monierte Verfahrensdauer, die weiteren Vorbringen in der Beschwerdeschrift noch die eingereichten Beweismittel etwas zu ändern, weshalb darauf nicht weiter einzugehen ist.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Das BFM begründete die Zumutbarkeit des Wegweisungsvollzugs damit, dass die generelle Lage in Äthiopien nicht dagegen spreche und auch keine individuellen Gründe ersichtlich seien, welche der Zumutbarkeit entgegenstünden. Die Beschwerdeführerin verfüge insbesondere dank ihrem Ehemann, mit welchem sie und die Kinder zurückkehren könnten, und ihrer Verwandtschaft in Äthiopien über ein tragfähiges Beziehungsnetz. Überdies weise sie eine Schulbildung von fünf Jahren und eine mehrjährige Tätigkeit in der Landwirtschaft auf. Damit müssten die beruflichen und sozialen Reintegrationsmöglichkeiten als positiv bewertet werden. Auch das Kindeswohl stehe in Anbetracht des Alters und der kurzen Aufenthaltsdauer der Kinder in der Schweiz dem Wegweisungsvollzug nicht entgegen.</w:t>
      </w:r>
    </w:p>
    <w:p>
      <w:r>
        <w:rPr>
          <w:b/>
        </w:rPr>
        <w:t>E. 8.4.2</w:t>
      </w:r>
    </w:p>
    <w:p>
      <w:r>
        <w:t>Dem lassen die Beschwerdeführerinnen zunächst die schlechte humanitäre Situation in Äthiopien, speziell für ethnische Oromo, entgegenhalten. Weiter machen sie geltend, eine Rückkehr wäre für die Beschwerdeführerin besonders schwer, da sie keine Ausbildung habe, lange und prägende Jahre im Ausland gelebt und zwei kleine Kinder habe. Auch ihr Ehemann sei in Äthiopien verfolgt und das wirtschaftliche Existenzminimum wäre im Heimatland nicht gesichert. Aufgrund der allgemeinen Situation in Äthiopien sowie der persönlichen Verhältnisse habe das öffentliche Interesse am Wegweisungsvollzug gegenüber dem privaten Interesse der Beschwerdeführerinnen am Verbleib in der Schweiz zurückzutreten.</w:t>
      </w:r>
    </w:p>
    <w:p>
      <w:r>
        <w:rPr>
          <w:b/>
        </w:rPr>
        <w:t>E. 8.4.3</w:t>
      </w:r>
    </w:p>
    <w:p>
      <w:r>
        <w:t>Gemäss der immer noch zutreffenden Lageanalyse in BVGE 2011/25 ist der Wegweisungsvollzug nach Äthiopien grundsätzlich zumutbar (a.a.O., E. 8.3 S. 520). Aufgrund der schwierigen sozioökonomischen Situation ist bei alleinstehenden Frauen die Zumutbarkeit in Abweichung von diesem Grundsatz jedoch nur anzunehmen, wenn begünstigende Faktoren vorliegen, welche ihr eine soziale und wirtschaftliche Eingliederung in der Heimat ermöglichen (a.a.O., E. 8.5 S. 521 f.). Da die Beschwerdeführerin indessen nicht allein, sondern zusammen mit ihrem Partner (beziehungsweise nach ihren eigenen Angaben nach Brauch verheirateten Ehemann) - dessen Beschwerde mit Urteil vom gleichen Datum ebenfalls abgewiesen wird - zurückkehren kann, ist bei ihr nicht von einer alleinstehenden Frau auszugehen, weshalb auf die Prüfung der erwähnten begünstigenden Faktoren verzichtet werden kann. Für die individuellen Umstände des Ehemannes ist auf die entsprechenden Ausführungen in seinem Beschwerdeverfahren zu verweisen. Es sind damit keine Gründe ersichtlich, welche einer erfolgreichen sozialen und wirtschaftlichen Reintegration der Beschwerdeführerin und ihrer Familie im Heimatland entgegenstehen würden. Das Bundesamt hat schliesslich zutreffend darauf hingewiesen, dass eine Rückkehr nicht zu einer Entwurzelung der noch sehr jungen Kinder der Beschwerdeführerin führen würde. Es liegen keine Umstände vor, welche es angezeigt erscheinen liessen, im Lichte des Kindeswohls vom Wegweisungsvollzug abzusehen. Nach dem Gesagten erweist sich der Vollzug der Wegweisung auch als zumutbar.</w:t>
      </w:r>
    </w:p>
    <w:p>
      <w:r>
        <w:rPr>
          <w:b/>
        </w:rPr>
        <w:t>E. 8.5</w:t>
      </w:r>
    </w:p>
    <w:p>
      <w:r>
        <w:t>Schliesslich obliegt es den Beschwerdeführerinnen,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den Beschwerdeführerinnen aufzuerlegen (Art. 63 Abs. 1 VwVG) und auf insgesamt Fr. 600.- festzusetzen (Art. 1-3 des Reglements vom 21. Februar 2008 über die Kosten und Entschädigungen vor dem Bundesverwaltungsgericht [VGKE, SR 173.320.2]). Der einbezahlte Kostenvorschuss in der Höhe von Fr. 600.- ist zur Deckung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