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D-312/2013 vom 12. Dezember 2013</w:t>
      </w:r>
    </w:p>
    <w:p>
      <w:r>
        <w:t>Bundesverwaltungsgericht, 2013-12-12, DE</w:t>
      </w:r>
    </w:p>
    <w:p>
      <w:r>
        <w:rPr>
          <w:b/>
        </w:rPr>
        <w:t xml:space="preserve">Quelle: </w:t>
      </w:r>
      <w:r>
        <w:t>https://mcp.opencaselaw.ch/entscheid/bvger_D-312_2013</w:t>
      </w:r>
    </w:p>
    <w:p>
      <w:r>
        <w:t>FR: TAF D-312/2013 du 12 décembre 2013</w:t>
      </w:r>
    </w:p>
    <w:p>
      <w:r>
        <w:t>IT: TAF D-312/2013 del 12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Die Beschwerdeführerin ist als Verfügungsadressatin zur Beschwerdeführung legitimiert (Art. 48 VwVG). Auf die frist- und formgerecht eingereichte Beschwerde (Art. 108 Abs. 1 AsylG und Art. 52 VwVG) ist - unter Vorbehalt der nachfolgenden Erwägungen -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2.4</w:t>
      </w:r>
    </w:p>
    <w:p>
      <w:r>
        <w:t>Gegenstand des Beschwerdeverfahrens bildet vorliegend lediglich die Frage, ob die Beschwerdeführerin die Flüchtlingseigenschaft erfüllt und ob ihr Asyl zu gewähren ist, nicht jedoch die Anordnung der Wegweisung als solche sowie der Wegweisungsvollzug, zumal die Vorinstanz in Ziffer 3 des Dispositivs der angefochtenen Verfügung festhielt, dass der Entscheid über den weiteren Aufenthalt oder eine allfällige Wegweisung in die Zuständigkeit der kantonalen Migrationsbehörden falle. Auf die Eventualanträge, es sei wegen Unzulässigkeit, allenfalls wegen Unzumutbarkeit des Wegweisungsvollzugs die vorläufige Aufnahme in der Schweiz zu gewähren, ist daher mangels Rechtsschutzinteresses nicht einzutreten (vgl. auch Bst. D. oben).</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18. Dezember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soweit darauf einzutreten ist.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VwVG), weshalb der am 1. Februar 2013 geleistete Kostenvorschuss zurückzuerstatten ist.</w:t>
      </w:r>
    </w:p>
    <w:p>
      <w:r>
        <w:rPr>
          <w:b/>
        </w:rPr>
        <w:t>E. 4.2</w:t>
      </w:r>
    </w:p>
    <w:p>
      <w:r>
        <w:t>Der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reichte mit Eingabe vom 2. Mai 2013 eine Kostennote für den bis zu diesem Zeitpunkt aufgelaufenen Aufwand ein. Im Rahmen des durchgeführten Schriftenwechsels mit dem BFM erwuchs ihr kein weiterer wesentlicher Aufwand. Es ist daher vom Aufwand, wie er in der Kostennote vom 2. Mai 2013 ausgewiesen wird, auszugehen. Die Rechtsvertreterin machte in ihrer Kostennote für das am 21. Januar 2013 anhängig gemachte Beschwerdeverfahren einen Aufwand von neun Stun­den bei einem Stundenansatz von Fr. 200.- sowie Auslagen von Fr. 16.- geltend, was einen Betrag von Fr. 1816.- ergibt. Das Bundesverwaltungsgericht erachtet den in der Kostennote ausgewiesenen zeitlichen Vertretungsaufwand als nicht vollumfänglich angemessen. So ist zu berücksichtigen, dass ein massgeblicher Teil der Beschwerdebegründung und der nachfolgenden Eingabe vom 26. April 2013 eine Darlegung der aktuellen Situation respektive der Sicherheitslage in Sri Lanka enthält, die jedoch den schweizerischen Asylbehörden bekannt ist. Zudem erweisen sich die Ausführungen zur vorläufigen Aufnahme - auf den diesbezüglichen Antrag ist nicht einzutreten - als nicht notwendig. Der geltend gemachte Aufwand ist daher zu kürzen. Unter Berücksichtigung der massgebenden Bemessungsfaktoren (Art. 9-13 VGKE) hat das BFM der Beschwerdeführerin eine Parteientschädigung in der Höhe von insgesamt Fr. 800.-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