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D-3125/2015 vom 1. Juni 2015</w:t>
      </w:r>
    </w:p>
    <w:p>
      <w:r>
        <w:t>Bundesverwaltungsgericht, 2015-06-01, DE</w:t>
      </w:r>
    </w:p>
    <w:p>
      <w:r>
        <w:rPr>
          <w:b/>
        </w:rPr>
        <w:t xml:space="preserve">Quelle: </w:t>
      </w:r>
      <w:r>
        <w:t>https://mcp.opencaselaw.ch/entscheid/bvger_D-3125_2015</w:t>
      </w:r>
    </w:p>
    <w:p>
      <w:r>
        <w:t>FR: TAF D-3125/2015 du 1 juin 2015</w:t>
      </w:r>
    </w:p>
    <w:p>
      <w:r>
        <w:t>IT: TAF D-3125/2015 del 1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[AsylG, SR 142.31];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mit sinngemässem Beschwerdeantrag und entsprechender Begründung verständlich ist, so dass ohne weiteres darüber befunden werden kann. Der vorliegende Entscheid ergeht indessen in deutscher Sprache (Art. 33a Abs. 2 VwVG i.V.m. Art. 6 AsylG).</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AsylG sowie Art. 105 AsylG i.V.m. 37 VGG und Art. 48 Abs. 1 und Art. 52 VwVG).</w:t>
      </w:r>
    </w:p>
    <w:p>
      <w:r>
        <w:rPr>
          <w:b/>
        </w:rPr>
        <w:t>E. 2</w:t>
      </w:r>
    </w:p>
    <w:p>
      <w:r>
        <w:t>Mit Beschwerde kann im Asylbereich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SEM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SEM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Beurteilungsspielraum zukommt (vgl. dazu das zur Publikation vorgesehene Urteil D-103/2014 vom 21. Januar 2015).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nachfolgenden Gründen ist die Einschätzung des SEM in der angefochtenen Verfügung zu bestätigen, wonach sich aus den wesentlichen Vorbringen des Beschwerdeführers keine asylrelevante Gefährdungssituation ergebe.</w:t>
      </w:r>
    </w:p>
    <w:p>
      <w:r>
        <w:rPr>
          <w:b/>
        </w:rPr>
        <w:t>E. 5.4</w:t>
      </w:r>
    </w:p>
    <w:p>
      <w:r>
        <w:t>Mit der Vorinstanz ist festzuhalten, dass sich aus den Aussagen des Beschwerdeführers keine konkreten Anhaltspunkte auf eine objektiv begründete Furcht vor künftiger Verfolgung durch den (...) Geheimdienst ergeben. Aufgrund der blossen Tätigkeit des Beschwerdeführers als einfacher Angestellter in der (...) Botschaft verfügt der Beschwerdeführer nicht über ein entsprechendes Profil, das auf ein allfälliges Verfolgungsinteresse des syrischen Geheimdienstes schliessen liesse. Der Beschwerdeführer hat denn auch keine entsprechenden Behelligungen geltend gemacht. Im Weiteren hält sich der Beschwerdeführer ohnehin zurzeit als anerkannter Flüchtling in C._______ auf. Auch wenn der Beschwerdeführer geltend macht, seine dortigen Lebensbedingungen seien schwierig, vermag dies nichts daran zu ändern, dass er in C.______ keine Verfolgung zu befürchten hat, mit seiner Familie über ein soziales Netz verfügt und insgesamt gesehen der Aufenthalt als zumutbar zu bezeichnen ist. Es kann auf die zutreffenden Erwägungen in der vorinstanzlichen Verfügung verwiesen werden.</w:t>
      </w:r>
    </w:p>
    <w:p>
      <w:r>
        <w:rPr>
          <w:b/>
        </w:rPr>
        <w:t>E. 5.5</w:t>
      </w:r>
    </w:p>
    <w:p>
      <w:r>
        <w:t>An diesen Erwägungen vermögen die mit der Beschwerde eingereichten Dokumente nichts zu ändern, belegen sie doch lediglich die nicht in Zweifel gezogene Tatsache, dass sich der Beschwerdeführer und seine Familie als anerkannte Flüchtlinge in C.________ aufhalten. 6.Somit ist es dem Beschwerdeführer nicht gelungen, eine aktuelle Gefährdung im Sinne von Art. 3 AsylG aufzuzeigen, welche die Bewilligung der Ein­reise in die Schweiz rechtfertigen würde. Die Schutzbedürftigkeit des Beschwerdeführers im Sinne von alt Art. 20 i.V.m. Art. 3 AsylG ist nicht gegeben. Im Übrigen ist auch eine Beziehungsnähe des Beschwerdeführers zur Schweiz zu verneinen (alt Art. 52 Abs. 2 AsylG). Das BFM hat dem Beschwerdeführer zu Recht die Einreise in die Schweiz verweigert und das Asylgesuch abgelehnt. 7.Aus diesen Erwägungen ergibt sich, dass die angefochtene Verfügung das Bundesrecht nicht verletzt und den rechtserheblichen Sachverhalt richtig sowie vollständig feststellt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