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D-3124/2024 vom 28. März 2025</w:t>
      </w:r>
    </w:p>
    <w:p>
      <w:r>
        <w:t>Bundesverwaltungsgericht, 2025-03-28, FR</w:t>
      </w:r>
    </w:p>
    <w:p>
      <w:r>
        <w:rPr>
          <w:b/>
        </w:rPr>
        <w:t xml:space="preserve">Quelle: </w:t>
      </w:r>
      <w:r>
        <w:t>https://mcp.opencaselaw.ch/entscheid/bvger_D-3124_2024</w:t>
      </w:r>
    </w:p>
    <w:p>
      <w:r>
        <w:t>FR: TAF D-3124/2024 du 28 mars 2025</w:t>
      </w:r>
    </w:p>
    <w:p>
      <w:r>
        <w:t>IT: TAF D-3124/2024 del 28 marzo 2025</w:t>
      </w:r>
    </w:p>
    <w:p>
      <w:pPr>
        <w:pStyle w:val="Heading2"/>
      </w:pPr>
      <w:r>
        <w:t>Regeste</w:t>
      </w:r>
    </w:p>
    <w:p>
      <w:r>
        <w:t>Asile et renvoi</w:t>
      </w:r>
    </w:p>
    <w:p>
      <w:pPr>
        <w:pStyle w:val="Heading2"/>
      </w:pPr>
      <w:r>
        <w:t>Erwägungen</w:t>
      </w:r>
    </w:p>
    <w:p>
      <w:r>
        <w:rPr>
          <w:b/>
        </w:rPr>
        <w:t>E. 12</w:t>
      </w:r>
    </w:p>
    <w:p>
      <w:r>
        <w:t>novembre 2024, no 56390/21 cité par le recourant), il est « presque toujours possible que la découverte de l’orientation sexuelle et/ou de l’identité de genre de la personne LGBTI se produise contre la volonté de celle-ci », que toutefois, même si l’homosexualité de l’intéressé venait à être découverte, les autorités turques sont en principe capables et disposées à défendre les personnes homosexuelles (cf. arrêt du Tribunal D-364/2025 du 4 mars 2025 consid. 6.2), que compte tenu de ce qui précède, et même si la situation des personnes homosexuelles est moins favorable en Turquie qu’en Suisse, il ne peut être admis, qu’au regard de sa situation personnelle, l’intéressé puisse être objectivement ou subjectivement fondé à craindre une persécution future à cause de son orientation sexuelle, en cas de retour dans son pays d’origine, que par ailleurs, il ressort de la lettre de l’avocat du recourant en Turquie qu’une procédure pénale pour « propagande en faveur d’organisation [sic] » aurait été ouverte contre lui suite à « une participation à une réunion pacifique et à une manifestation à H._______, en Suisse » (cf. annexe accompagnant le courrier de l’intéressé du 24 février 2025), qu’il convient ainsi d’examiner si l’intéressé peut valablement se prévaloir d’une crainte fondée de persécution future déterminante à l’aune de</w:t>
      </w:r>
    </w:p>
    <w:p>
      <w:r>
        <w:t>D-3124/2024 Page 8 l’art. 3 LAsi sur la base de motifs subjectifs postérieurs à son départ du pays, que selon l’art. 54 LAsi, l’asile n’est pas accordé à la personne qui n’est devenue un réfugié au sens de l’art. 3 LAsi qu’en quittant son Etat d’origine ou de provenance, ou en raison de son comportement ultérieur, qu’en présence de tels motifs, la qualité de réfugié est reconnue si, après un examen approfondi des circonstances, il doit être présumé que les activités exercées après le départ du pays d’origine sont arrivées à la connaissance des autorités de cet Etat et que le comportement de l’étranger concerné entraînerait, de manière hautement probable, un risque de persécution de leur part (cf. ATAF 2009/29 consid. 5.1 et réf. cit ; 2008/57 consid. 4.4 ; MARIO GATTIKER, La procédure d'asile et de renvoi, 3ème éd., 1999, p. 77 s.), que les conditions jurisprudentielles précitées, permettant d’admettre la prévalence, dans un cas d’espèce, d’une crainte fondée de persécution future sur la base de motifs subjectifs postérieurs à la fuite, ne sont en l’occurrence pas satisfaites, que la lettre de son avocat en Turquie, confirmant l’ouverture d’une enquête à l’encontre de l’intéressé, ne revêt qu’une faible force probante, en tant que l’on ne peut exclure qu’il s’agisse d’un document de complaisance établi pour les seuls besoins de la cause, que si le recourant avait véritablement été « victime de […] pratiques répressives et illégales en raison de ses activités politiques », comme cela ressort du courrier précité, l’on peine à comprendre pourquoi il n’en a fait aucune mention au cours de la procédure devant le SEM, que ces explications sont en contradiction flagrante avec les précédentes déclarations du recourant (« Comme je n’avais pas beaucoup affaire aux autorités, je n’ai pas rencontré de problèmes [avec ces dernières] », cf. procès-verbal de l’audition du 12 mars 2024, Q81), que cela étant, il convient de souligner que l’ouverture d’une procédure d'enquête par le ministère public pour insulte au président et/ou propagande en faveur d'une organisation terroriste ne suffit pas en soi à faire naître une crainte fondée de persécution future au sens de l'art. 3 LAsi (cf. arrêt de référence du Tribunal E-4103/2024 du 8 novembre 2024 consid. 8.7 et 8.8),</w:t>
      </w:r>
    </w:p>
    <w:p>
      <w:r>
        <w:t>D-3124/2024 Page 9 qu’en tant que personne sans antécédents pénaux et ne présentant pas de profil politique, il ne devrait selon toute vraisemblance pas s’attendre à une condamnation à une peine privative de liberté ferme ni craindre avec une forte probabilité une persécution relevant du droit des réfugiés et entachée d'un malus politique (cf. arrêt de référence E-4103/2024 précité consid. 8.7.3 s.), que pour le reste, il est renvoyé aux considérants de la décision attaquée, dès lors que ceux-ci sont suffisamment explicites ainsi que motivés et que le recours ne contient aucun élément susceptible d’en remettre en cause le bien-fondé (art. 109 al. 3 LTF, par renvoi de l’art. 4 PA), qu’au vu de ce qui précède, le recours doit être rejeté, en tant qu’il conteste le refus de reconnaissance de la qualité de réfugié et d’octroi de l’asile,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de cette mesure est ordonnée si elle est licite, raisonnablement exigible et possible (art. 83 al. 1 à 4 LEI [RS 142.20]), que l'exécution du renvoi ne contrevient pas au principe de non-refoulement de l'art. 5 LAsi, le recourant n'ayant pas démontré qu'il serait, en cas de retour dans son pays, exposé à de sérieux préjudices au sens de l'art. 3 LAsi, que pour la même raison, rien n’indique que l’intéressé serait en tel cas exposé à un risque concret et sérieux d'être victime de traitements prohibés par les art. 3 CEDH ou 3 de la Convention du 10 décembre 1984 contre la torture et autres peines ou traitements cruels, inhumains ou dégradants (RS 0.105), que l'exécution du renvoi s'avère donc licite (art. 83 al. 3 LEI ; cf. ATAF 2014/28 consid. 11), qu'elle est également raisonnablement exigible (art. 83 al. 4 LEI ; cf. ATAF 2011/50 consid. 8.1 à 8.3 et jurisp. cit.), dans la mesure où elle ne fait pas apparaître, en l'espèce, une mise en danger concrète du recourant,</w:t>
      </w:r>
    </w:p>
    <w:p>
      <w:r>
        <w:t>D-3124/2024 Page 10 qu’il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qu'il ne ressort pas non plus du dossier que le recourant pourrait être mis sérieusement en danger pour des motifs qui lui seraient propres, qu’originaire de la province de E._______, le recourant ne provient pas de l’une des provinces directement touchées par les tremblements de terre du mois de février 2023 ; qu’au demeurant, si cela devait s’avérer nécessaire, il lui serait également loisible de s’établir ailleurs en Turquie, par exemple dans l’une des villes où il a déjà vécu pour des raisons professionnelles ou militaires, qu’il est jeune, sans charge de famille et au bénéfice d’expériences professionnelles diverses et variées, qu’il n'a pas allégué, ni a fortiori établi, souffrir de graves problèmes de santé pour lesquels il ne pourrait pas être soigné dans son pays (cf. ATAF 2011/50 consid. 8.3 et ATAF 2009/2 consid. 9.3.2 ; procès-verbal du 12 mars 2024, Q4), qu’en tout état de cause, la Turquie dispose de centres hospitaliers spécialisés dans les maladies mentales et de nombreuses divisions psychiatriques dans les « General Hospital » ainsi que d'une couverture d'assurance maladie gratuite pour les personnes vulnérables (cf. arrêt du Tribunal D-296/2024 du 7 juin 2024 consid. 7.1.3 et jurisp. cit. ; décision querellée, p.8), que l'exécution du renvoi est enfin possible (art. 83 al. 2 LEI ; cf. ATAF 2008/34 consid. 12 et jurisp. cit.), le recourant étant tenu de collaborer à l'obtention de documents de voyage lui permettant de retourner dans son pays d'origine (art. 8 al. 4 LAsi), qu’en conséquence, le recours doit aussi être rejeté en ce qui concerne le renvoi et l’exécution de cette mesure, que s'avérant manifestement infondé, il l'est dans une procédure à juge unique, avec l'approbation d'un second juge (art. 111 let. e LAsi),</w:t>
      </w:r>
    </w:p>
    <w:p>
      <w:r>
        <w:t>D-3124/2024 Page 11 qu'il est dès lors renoncé à un échange d'écritures, le présent arrêt n'étant motivé que sommairement (art. 111a al. 1 et 2 LAsi), qu’il est immédiatement statué sur le fond, de sorte que la demande d’exemption du versement d’une avance des frais de procédure devient sans objet, que les conclusions du recours étant d’emblées vouées à l’échec, la requête d’assistance judiciaire totale doit être rejetée (art. 102m al. 1 LAsi en lien avec l’art. 65 al. 1 PA), que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D-3124/2024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