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D-3117/2018 vom 29. Oktober 2018</w:t>
      </w:r>
    </w:p>
    <w:p>
      <w:r>
        <w:t>Bundesverwaltungsgericht, 2018-10-29, IT</w:t>
      </w:r>
    </w:p>
    <w:p>
      <w:r>
        <w:rPr>
          <w:b/>
        </w:rPr>
        <w:t xml:space="preserve">Quelle: </w:t>
      </w:r>
      <w:r>
        <w:t>https://mcp.opencaselaw.ch/entscheid/bvger_D-3117_2018</w:t>
      </w:r>
    </w:p>
    <w:p>
      <w:r>
        <w:t>FR: TAF D-3117/2018 du 29 octobre 2018</w:t>
      </w:r>
    </w:p>
    <w:p>
      <w:r>
        <w:t>IT: TAF D-3117/2018 del 29 ottobre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procedure D-3117/2018 e D-3120/2018 sono congiunte.</w:t>
      </w:r>
    </w:p>
    <w:p>
      <w:r>
        <w:rPr>
          <w:b/>
        </w:rPr>
        <w:t>E. 2</w:t>
      </w:r>
    </w:p>
    <w:p>
      <w:r>
        <w:t>Il ricorso di B._______ con il figlio C._______ è accolto e gli atti sono trasmessi all'autorità inferiore per complemento d'istruzione e nuova decisione ai sensi dei considerandi.</w:t>
      </w:r>
    </w:p>
    <w:p>
      <w:r>
        <w:rPr>
          <w:b/>
        </w:rPr>
        <w:t>E. 3</w:t>
      </w:r>
    </w:p>
    <w:p>
      <w:r>
        <w:t>Il ricorso di A._______ è accolto limitatamente all'esecuzione dell'allontanamento. I punti da 4 a 6 della decisione della SEM del 25 aprile 2018 sono annullati e gli atti di causa sono trasmessi all'autorità inferiore per la pronuncia di una nuova decisione ai sensi dei considerandi. Per il resto il ricorso è respinto.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La SEM rifonderà ai ricorrenti complessivamente CHF 1'200.- a titolo di spese ripetibili.</w:t>
      </w:r>
    </w:p>
    <w:p>
      <w:r>
        <w:rPr>
          <w:b/>
        </w:rPr>
        <w:t>E. 6</w:t>
      </w:r>
    </w:p>
    <w:p>
      <w:r>
        <w:t>Questa sentenza è comunicata ai ricorrenti,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